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37D12C39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427251">
        <w:rPr>
          <w:rFonts w:ascii="Arial" w:hAnsi="Arial" w:cs="Arial"/>
          <w:b/>
          <w:szCs w:val="28"/>
          <w:lang w:val="en-US"/>
        </w:rPr>
        <w:t>1</w:t>
      </w:r>
      <w:r w:rsidR="00017ED1" w:rsidRPr="001D2FBF">
        <w:rPr>
          <w:rFonts w:ascii="Arial" w:hAnsi="Arial" w:cs="Arial"/>
          <w:b/>
          <w:szCs w:val="28"/>
          <w:lang w:val="en-US"/>
        </w:rPr>
        <w:t>-e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D83109" w:rsidRPr="00D83109">
        <w:rPr>
          <w:rFonts w:ascii="Arial" w:hAnsi="Arial" w:cs="Arial"/>
          <w:b/>
          <w:szCs w:val="28"/>
          <w:lang w:val="en-US"/>
        </w:rPr>
        <w:t>R4-2119465</w:t>
      </w:r>
    </w:p>
    <w:p w14:paraId="60407F1B" w14:textId="750CB04C" w:rsidR="00CC6F36" w:rsidRPr="001D2FBF" w:rsidRDefault="002B3E63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3D4986">
        <w:rPr>
          <w:rFonts w:ascii="Arial" w:hAnsi="Arial" w:cs="Arial"/>
          <w:b/>
          <w:szCs w:val="28"/>
          <w:lang w:val="en-US"/>
        </w:rPr>
        <w:t>1</w:t>
      </w:r>
      <w:r w:rsidR="00427251">
        <w:rPr>
          <w:rFonts w:ascii="Arial" w:hAnsi="Arial" w:cs="Arial"/>
          <w:b/>
          <w:szCs w:val="28"/>
          <w:lang w:val="en-US"/>
        </w:rPr>
        <w:t xml:space="preserve">-12 November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7B583D">
        <w:rPr>
          <w:rFonts w:ascii="Arial" w:hAnsi="Arial" w:cs="Arial"/>
          <w:b/>
          <w:szCs w:val="28"/>
          <w:lang w:val="en-US"/>
        </w:rPr>
        <w:t>1</w:t>
      </w:r>
    </w:p>
    <w:p w14:paraId="25590F8B" w14:textId="3B67165A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954B96">
        <w:rPr>
          <w:rFonts w:ascii="Arial" w:hAnsi="Arial" w:cs="Arial"/>
          <w:bCs/>
          <w:sz w:val="22"/>
          <w:szCs w:val="22"/>
          <w:lang w:val="en-US"/>
        </w:rPr>
        <w:t>8</w:t>
      </w:r>
      <w:r w:rsidR="000266FE">
        <w:rPr>
          <w:rFonts w:ascii="Arial" w:hAnsi="Arial" w:cs="Arial"/>
          <w:bCs/>
          <w:sz w:val="22"/>
          <w:szCs w:val="22"/>
          <w:lang w:val="en-US"/>
        </w:rPr>
        <w:t>.17.3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3D98C4A8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954B96" w:rsidRPr="00D83109">
        <w:rPr>
          <w:rFonts w:ascii="Arial" w:hAnsi="Arial" w:cs="Arial"/>
          <w:sz w:val="22"/>
          <w:szCs w:val="22"/>
          <w:lang w:val="en-US"/>
        </w:rPr>
        <w:t>Analysis of RRM requirements for enhanced IAB</w:t>
      </w:r>
    </w:p>
    <w:p w14:paraId="37EAE97F" w14:textId="3778AEC4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62381305" w14:textId="11FFBFD7" w:rsidR="005C076B" w:rsidRDefault="00791C6F" w:rsidP="00BB0A7A">
      <w:pPr>
        <w:spacing w:before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last </w:t>
      </w:r>
      <w:r w:rsidR="00A84D49">
        <w:rPr>
          <w:sz w:val="22"/>
          <w:szCs w:val="22"/>
          <w:lang w:val="en-US"/>
        </w:rPr>
        <w:t xml:space="preserve">RAN4 </w:t>
      </w:r>
      <w:r>
        <w:rPr>
          <w:sz w:val="22"/>
          <w:szCs w:val="22"/>
          <w:lang w:val="en-US"/>
        </w:rPr>
        <w:t>meeting a WF on RRM requirements for IAB enhancement was approved</w:t>
      </w:r>
      <w:r w:rsidR="00A84D49">
        <w:rPr>
          <w:sz w:val="22"/>
          <w:szCs w:val="22"/>
          <w:lang w:val="en-US"/>
        </w:rPr>
        <w:t xml:space="preserve"> [1]. </w:t>
      </w:r>
    </w:p>
    <w:p w14:paraId="4BC9507D" w14:textId="7898A123" w:rsidR="007639E1" w:rsidRPr="003860F6" w:rsidRDefault="0065006A" w:rsidP="00BB0A7A">
      <w:pPr>
        <w:spacing w:before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 we analyze </w:t>
      </w:r>
      <w:r w:rsidR="00183017">
        <w:rPr>
          <w:sz w:val="22"/>
          <w:szCs w:val="22"/>
          <w:lang w:val="en-US"/>
        </w:rPr>
        <w:t xml:space="preserve">the </w:t>
      </w:r>
      <w:r w:rsidR="00791C6F">
        <w:rPr>
          <w:sz w:val="22"/>
          <w:szCs w:val="22"/>
          <w:lang w:val="en-US"/>
        </w:rPr>
        <w:t>open issues identified in the WF for further analysis</w:t>
      </w:r>
      <w:r w:rsidR="00183017">
        <w:rPr>
          <w:sz w:val="22"/>
          <w:szCs w:val="22"/>
          <w:lang w:val="en-US"/>
        </w:rPr>
        <w:t xml:space="preserve">. </w:t>
      </w:r>
    </w:p>
    <w:p w14:paraId="7BFE3390" w14:textId="254306F8" w:rsidR="00B663AD" w:rsidRDefault="00A11545" w:rsidP="00B663A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Impact of </w:t>
      </w:r>
      <w:r w:rsidR="00210715">
        <w:t>simultaneous IAB operation on RRM</w:t>
      </w:r>
    </w:p>
    <w:p w14:paraId="0A5E879D" w14:textId="50728FA2" w:rsidR="00AB208F" w:rsidRPr="00D83109" w:rsidRDefault="00AB208F" w:rsidP="00BE4F23">
      <w:pPr>
        <w:spacing w:before="240"/>
        <w:rPr>
          <w:sz w:val="22"/>
          <w:szCs w:val="22"/>
          <w:lang w:val="en-US"/>
        </w:rPr>
      </w:pPr>
      <w:r w:rsidRPr="00D83109">
        <w:rPr>
          <w:sz w:val="22"/>
          <w:szCs w:val="22"/>
          <w:lang w:val="en-US"/>
        </w:rPr>
        <w:t xml:space="preserve">The following </w:t>
      </w:r>
      <w:r w:rsidR="00E43D4E" w:rsidRPr="00D83109">
        <w:rPr>
          <w:sz w:val="22"/>
          <w:szCs w:val="22"/>
          <w:lang w:val="en-US"/>
        </w:rPr>
        <w:t xml:space="preserve">related to the simultaneous IAB operation </w:t>
      </w:r>
      <w:r w:rsidRPr="00D83109">
        <w:rPr>
          <w:sz w:val="22"/>
          <w:szCs w:val="22"/>
          <w:lang w:val="en-US"/>
        </w:rPr>
        <w:t>was agreed in the last RAN4 WF [1]:</w:t>
      </w:r>
    </w:p>
    <w:p w14:paraId="55FD2286" w14:textId="2BD1F064" w:rsidR="00A42282" w:rsidRPr="00D83109" w:rsidRDefault="00A42282" w:rsidP="00FA4464">
      <w:pPr>
        <w:pBdr>
          <w:top w:val="single" w:sz="4" w:space="1" w:color="auto"/>
          <w:bottom w:val="single" w:sz="4" w:space="1" w:color="auto"/>
        </w:pBdr>
        <w:spacing w:before="240"/>
        <w:rPr>
          <w:i/>
          <w:iCs/>
          <w:sz w:val="22"/>
          <w:szCs w:val="22"/>
          <w:lang w:val="en-US"/>
        </w:rPr>
      </w:pPr>
      <w:r w:rsidRPr="00D83109">
        <w:rPr>
          <w:i/>
          <w:iCs/>
          <w:sz w:val="22"/>
          <w:szCs w:val="22"/>
          <w:lang w:val="en-US"/>
        </w:rPr>
        <w:t>In general simultaneous operation between IAB-MT TX and DU RX or between IAB-MT RX and DU TX is not expected to impact RRM requirements for IAB-MT or DU. RAN4 will continue assessing any possible impact on RRM requirements based on RAN1/2 agreements related to RRM.</w:t>
      </w:r>
    </w:p>
    <w:p w14:paraId="762DBDED" w14:textId="164F78C5" w:rsidR="003071B1" w:rsidRPr="00EC1D2A" w:rsidRDefault="00ED3F1C" w:rsidP="00EC1D2A">
      <w:pPr>
        <w:spacing w:before="240"/>
        <w:rPr>
          <w:sz w:val="22"/>
          <w:szCs w:val="22"/>
          <w:lang w:val="en-US"/>
        </w:rPr>
      </w:pPr>
      <w:r w:rsidRPr="00D83109">
        <w:rPr>
          <w:sz w:val="22"/>
          <w:szCs w:val="22"/>
          <w:lang w:val="en-US"/>
        </w:rPr>
        <w:t xml:space="preserve">RAN4 has not received any further input from RAN1 or RAN2 regarding any specific RRM related impact </w:t>
      </w:r>
      <w:r w:rsidR="005E7D32" w:rsidRPr="00D83109">
        <w:rPr>
          <w:sz w:val="22"/>
          <w:szCs w:val="22"/>
          <w:lang w:val="en-US"/>
        </w:rPr>
        <w:t xml:space="preserve">due to simultaneous operation </w:t>
      </w:r>
      <w:r w:rsidR="00FE4434" w:rsidRPr="00D83109">
        <w:rPr>
          <w:sz w:val="22"/>
          <w:szCs w:val="22"/>
          <w:lang w:val="en-US"/>
        </w:rPr>
        <w:t xml:space="preserve">between IAB-MT TX and DU RX or between IAB-MT RX and DU TX. </w:t>
      </w:r>
      <w:r w:rsidR="00CB79DA">
        <w:rPr>
          <w:sz w:val="22"/>
          <w:szCs w:val="22"/>
          <w:lang w:val="en-US"/>
        </w:rPr>
        <w:t>Furthermore, t</w:t>
      </w:r>
      <w:r w:rsidR="00FE4434" w:rsidRPr="005E2683">
        <w:rPr>
          <w:sz w:val="22"/>
          <w:szCs w:val="22"/>
          <w:lang w:val="en-US"/>
        </w:rPr>
        <w:t xml:space="preserve">he discussion in the RF group is related to </w:t>
      </w:r>
      <w:r w:rsidR="001E51A3" w:rsidRPr="005E2683">
        <w:rPr>
          <w:sz w:val="22"/>
          <w:szCs w:val="22"/>
          <w:lang w:val="en-US"/>
        </w:rPr>
        <w:t xml:space="preserve">handling the simultaneous operation of the IAB by means </w:t>
      </w:r>
      <w:r w:rsidR="005E2683" w:rsidRPr="005E2683">
        <w:rPr>
          <w:sz w:val="22"/>
          <w:szCs w:val="22"/>
          <w:lang w:val="en-US"/>
        </w:rPr>
        <w:t>s</w:t>
      </w:r>
      <w:r w:rsidR="005E2683">
        <w:rPr>
          <w:sz w:val="22"/>
          <w:szCs w:val="22"/>
          <w:lang w:val="en-US"/>
        </w:rPr>
        <w:t>ufficient isolation</w:t>
      </w:r>
      <w:r w:rsidR="009C1776">
        <w:rPr>
          <w:sz w:val="22"/>
          <w:szCs w:val="22"/>
          <w:lang w:val="en-US"/>
        </w:rPr>
        <w:t xml:space="preserve"> [2]</w:t>
      </w:r>
      <w:r w:rsidR="004C3849">
        <w:rPr>
          <w:sz w:val="22"/>
          <w:szCs w:val="22"/>
          <w:lang w:val="en-US"/>
        </w:rPr>
        <w:t xml:space="preserve">. </w:t>
      </w:r>
      <w:r w:rsidR="005A2ED6">
        <w:rPr>
          <w:sz w:val="22"/>
          <w:szCs w:val="22"/>
          <w:lang w:val="en-US"/>
        </w:rPr>
        <w:t xml:space="preserve">This may very well be left for the IAB implementation. </w:t>
      </w:r>
      <w:r w:rsidR="00EC1D2A">
        <w:rPr>
          <w:sz w:val="22"/>
          <w:szCs w:val="22"/>
          <w:lang w:val="en-US"/>
        </w:rPr>
        <w:t xml:space="preserve">Therefore, it can be concluded that so far no RRM impact has been identified due to </w:t>
      </w:r>
      <w:r w:rsidR="00EE0862" w:rsidRPr="00EC1D2A">
        <w:rPr>
          <w:sz w:val="22"/>
          <w:szCs w:val="22"/>
          <w:lang w:val="en-US"/>
        </w:rPr>
        <w:t>the simultaneous operation between IAB-MT and DU</w:t>
      </w:r>
      <w:r w:rsidR="00F8641E" w:rsidRPr="00EC1D2A">
        <w:rPr>
          <w:sz w:val="22"/>
          <w:szCs w:val="22"/>
          <w:lang w:val="en-US"/>
        </w:rPr>
        <w:t>.</w:t>
      </w:r>
    </w:p>
    <w:p w14:paraId="4470A718" w14:textId="40927D29" w:rsidR="00B56FB8" w:rsidRPr="00E43D4E" w:rsidRDefault="00EE0862" w:rsidP="00E43D4E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Impact of </w:t>
      </w:r>
      <w:r w:rsidR="00185CE6">
        <w:t>Case 6 timing</w:t>
      </w:r>
      <w:r w:rsidR="00F74D40">
        <w:t xml:space="preserve"> on RRM</w:t>
      </w:r>
    </w:p>
    <w:p w14:paraId="4C38B7BA" w14:textId="181B0140" w:rsidR="00E43D4E" w:rsidRPr="00186011" w:rsidRDefault="00E43D4E" w:rsidP="00E43D4E">
      <w:pPr>
        <w:spacing w:before="240"/>
        <w:rPr>
          <w:sz w:val="22"/>
          <w:szCs w:val="22"/>
          <w:lang w:val="en-US"/>
        </w:rPr>
      </w:pPr>
      <w:r w:rsidRPr="00186011">
        <w:rPr>
          <w:sz w:val="22"/>
          <w:szCs w:val="22"/>
          <w:lang w:val="en-US"/>
        </w:rPr>
        <w:t xml:space="preserve">The following related to </w:t>
      </w:r>
      <w:r w:rsidR="00F8641E" w:rsidRPr="00186011">
        <w:rPr>
          <w:sz w:val="22"/>
          <w:szCs w:val="22"/>
          <w:lang w:val="en-US"/>
        </w:rPr>
        <w:t>case 6</w:t>
      </w:r>
      <w:r w:rsidRPr="00186011">
        <w:rPr>
          <w:sz w:val="22"/>
          <w:szCs w:val="22"/>
          <w:lang w:val="en-US"/>
        </w:rPr>
        <w:t xml:space="preserve"> was agreed in the last RAN4 WF [1]:</w:t>
      </w:r>
    </w:p>
    <w:p w14:paraId="5F8A0115" w14:textId="3D0089E9" w:rsidR="00F8641E" w:rsidRPr="008E0D6C" w:rsidRDefault="003464B5" w:rsidP="003464B5">
      <w:pPr>
        <w:pBdr>
          <w:top w:val="single" w:sz="4" w:space="1" w:color="auto"/>
          <w:bottom w:val="single" w:sz="4" w:space="1" w:color="auto"/>
        </w:pBdr>
        <w:overflowPunct w:val="0"/>
        <w:autoSpaceDE w:val="0"/>
        <w:autoSpaceDN w:val="0"/>
        <w:adjustRightInd w:val="0"/>
        <w:spacing w:before="240" w:line="259" w:lineRule="auto"/>
        <w:textAlignment w:val="baseline"/>
        <w:rPr>
          <w:bCs/>
          <w:i/>
          <w:iCs/>
          <w:sz w:val="22"/>
          <w:szCs w:val="22"/>
          <w:lang w:val="en-US" w:eastAsia="zh-CN"/>
        </w:rPr>
      </w:pPr>
      <w:r w:rsidRPr="008E0D6C">
        <w:rPr>
          <w:bCs/>
          <w:i/>
          <w:iCs/>
          <w:sz w:val="22"/>
          <w:szCs w:val="22"/>
          <w:lang w:val="en-US" w:eastAsia="zh-CN"/>
        </w:rPr>
        <w:t>Impact of case 6 timing on RRM requirements can be assessed after RAN1 and RF groups agreements on case 6 timing.</w:t>
      </w:r>
    </w:p>
    <w:p w14:paraId="32B8C9FE" w14:textId="77777777" w:rsidR="003464B5" w:rsidRPr="003464B5" w:rsidRDefault="003464B5" w:rsidP="0092312E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bCs/>
          <w:sz w:val="22"/>
          <w:szCs w:val="22"/>
          <w:lang w:val="en-US" w:eastAsia="zh-CN"/>
        </w:rPr>
      </w:pPr>
    </w:p>
    <w:p w14:paraId="79C9F99D" w14:textId="77777777" w:rsidR="00A60E95" w:rsidRPr="00D83109" w:rsidRDefault="000415C0" w:rsidP="00A60E95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bCs/>
          <w:sz w:val="22"/>
          <w:szCs w:val="22"/>
          <w:lang w:val="en-US" w:eastAsia="zh-CN"/>
        </w:rPr>
      </w:pPr>
      <w:r w:rsidRPr="003464B5">
        <w:rPr>
          <w:bCs/>
          <w:sz w:val="22"/>
          <w:szCs w:val="22"/>
          <w:lang w:val="en-US" w:eastAsia="zh-CN"/>
        </w:rPr>
        <w:t>T</w:t>
      </w:r>
      <w:r w:rsidR="003464B5">
        <w:rPr>
          <w:bCs/>
          <w:sz w:val="22"/>
          <w:szCs w:val="22"/>
          <w:lang w:val="en-US" w:eastAsia="zh-CN"/>
        </w:rPr>
        <w:t xml:space="preserve">o recap, the </w:t>
      </w:r>
      <w:r w:rsidRPr="003464B5">
        <w:rPr>
          <w:bCs/>
          <w:sz w:val="22"/>
          <w:szCs w:val="22"/>
          <w:lang w:val="en-US" w:eastAsia="zh-CN"/>
        </w:rPr>
        <w:t xml:space="preserve">Case # 6 timing configuration is related to the simultaneous transmission by IAB-MT and IAB-DU </w:t>
      </w:r>
      <w:r w:rsidR="008777DB" w:rsidRPr="003464B5">
        <w:rPr>
          <w:bCs/>
          <w:sz w:val="22"/>
          <w:szCs w:val="22"/>
          <w:lang w:val="en-US" w:eastAsia="zh-CN"/>
        </w:rPr>
        <w:t xml:space="preserve">transmitters </w:t>
      </w:r>
      <w:r w:rsidRPr="003464B5">
        <w:rPr>
          <w:bCs/>
          <w:sz w:val="22"/>
          <w:szCs w:val="22"/>
          <w:lang w:val="en-US" w:eastAsia="zh-CN"/>
        </w:rPr>
        <w:t>in the same IAB</w:t>
      </w:r>
      <w:r w:rsidR="00EA34A7" w:rsidRPr="003464B5">
        <w:rPr>
          <w:bCs/>
          <w:sz w:val="22"/>
          <w:szCs w:val="22"/>
          <w:lang w:val="en-US" w:eastAsia="zh-CN"/>
        </w:rPr>
        <w:t xml:space="preserve"> </w:t>
      </w:r>
      <w:r w:rsidRPr="003464B5">
        <w:rPr>
          <w:bCs/>
          <w:sz w:val="22"/>
          <w:szCs w:val="22"/>
          <w:lang w:val="en-US" w:eastAsia="zh-CN"/>
        </w:rPr>
        <w:t xml:space="preserve">node. </w:t>
      </w:r>
      <w:r w:rsidR="009554CF" w:rsidRPr="003464B5">
        <w:rPr>
          <w:bCs/>
          <w:sz w:val="22"/>
          <w:szCs w:val="22"/>
          <w:lang w:val="en-US" w:eastAsia="zh-CN"/>
        </w:rPr>
        <w:t>There can be diffe</w:t>
      </w:r>
      <w:r w:rsidR="00EA34A7" w:rsidRPr="003464B5">
        <w:rPr>
          <w:bCs/>
          <w:sz w:val="22"/>
          <w:szCs w:val="22"/>
          <w:lang w:val="en-US" w:eastAsia="zh-CN"/>
        </w:rPr>
        <w:t xml:space="preserve">rent architectural options for implementing </w:t>
      </w:r>
      <w:r w:rsidR="009554CF" w:rsidRPr="003464B5">
        <w:rPr>
          <w:bCs/>
          <w:sz w:val="22"/>
          <w:szCs w:val="22"/>
          <w:lang w:val="en-US" w:eastAsia="zh-CN"/>
        </w:rPr>
        <w:t>IAB-MT and IAB-DU</w:t>
      </w:r>
      <w:r w:rsidR="00EA34A7" w:rsidRPr="003464B5">
        <w:rPr>
          <w:bCs/>
          <w:sz w:val="22"/>
          <w:szCs w:val="22"/>
          <w:lang w:val="en-US" w:eastAsia="zh-CN"/>
        </w:rPr>
        <w:t xml:space="preserve"> within an IAB </w:t>
      </w:r>
      <w:proofErr w:type="spellStart"/>
      <w:r w:rsidR="00EA34A7" w:rsidRPr="003464B5">
        <w:rPr>
          <w:bCs/>
          <w:sz w:val="22"/>
          <w:szCs w:val="22"/>
          <w:lang w:val="en-US" w:eastAsia="zh-CN"/>
        </w:rPr>
        <w:t>node</w:t>
      </w:r>
      <w:r w:rsidR="00B05D73" w:rsidRPr="003464B5">
        <w:rPr>
          <w:bCs/>
          <w:sz w:val="22"/>
          <w:szCs w:val="22"/>
          <w:lang w:val="en-US" w:eastAsia="zh-CN"/>
        </w:rPr>
        <w:t>as</w:t>
      </w:r>
      <w:proofErr w:type="spellEnd"/>
      <w:r w:rsidR="00B05D73" w:rsidRPr="003464B5">
        <w:rPr>
          <w:bCs/>
          <w:sz w:val="22"/>
          <w:szCs w:val="22"/>
          <w:lang w:val="en-US" w:eastAsia="zh-CN"/>
        </w:rPr>
        <w:t xml:space="preserve"> discussed in RF group [3]</w:t>
      </w:r>
      <w:r w:rsidR="00EA34A7" w:rsidRPr="003464B5">
        <w:rPr>
          <w:bCs/>
          <w:sz w:val="22"/>
          <w:szCs w:val="22"/>
          <w:lang w:val="en-US" w:eastAsia="zh-CN"/>
        </w:rPr>
        <w:t xml:space="preserve">. </w:t>
      </w:r>
      <w:r w:rsidR="00EA34A7" w:rsidRPr="00D83109">
        <w:rPr>
          <w:bCs/>
          <w:sz w:val="22"/>
          <w:szCs w:val="22"/>
          <w:lang w:val="en-US" w:eastAsia="zh-CN"/>
        </w:rPr>
        <w:t xml:space="preserve">In one example the IAB-MT and IAB-DU are implementing using different hardware. </w:t>
      </w:r>
      <w:r w:rsidR="0057034B" w:rsidRPr="00D83109">
        <w:rPr>
          <w:bCs/>
          <w:sz w:val="22"/>
          <w:szCs w:val="22"/>
          <w:lang w:val="en-US" w:eastAsia="zh-CN"/>
        </w:rPr>
        <w:t>In this case the IAB-MT is synchronized to its parent IAB-DU</w:t>
      </w:r>
      <w:r w:rsidR="00E60F48" w:rsidRPr="00D83109">
        <w:rPr>
          <w:bCs/>
          <w:sz w:val="22"/>
          <w:szCs w:val="22"/>
          <w:lang w:val="en-US" w:eastAsia="zh-CN"/>
        </w:rPr>
        <w:t>, while the child IAB-DU can be synchronized to common sync source e.g. GNSS. The child IAB-DU and parent IAB-DU (parent of IAB-MT) are time aligned within time alignment error (± 3 µ).</w:t>
      </w:r>
      <w:r w:rsidR="008316BF" w:rsidRPr="00D83109">
        <w:rPr>
          <w:bCs/>
          <w:sz w:val="22"/>
          <w:szCs w:val="22"/>
          <w:lang w:val="en-US" w:eastAsia="zh-CN"/>
        </w:rPr>
        <w:t xml:space="preserve"> </w:t>
      </w:r>
      <w:r w:rsidR="008316BF" w:rsidRPr="00A60E95">
        <w:rPr>
          <w:bCs/>
          <w:sz w:val="22"/>
          <w:szCs w:val="22"/>
          <w:lang w:val="en-US" w:eastAsia="zh-CN"/>
        </w:rPr>
        <w:t xml:space="preserve">Therefore, IAB-MT and IAB-DU </w:t>
      </w:r>
      <w:r w:rsidR="001E4B60" w:rsidRPr="00A60E95">
        <w:rPr>
          <w:bCs/>
          <w:sz w:val="22"/>
          <w:szCs w:val="22"/>
          <w:lang w:val="en-US" w:eastAsia="zh-CN"/>
        </w:rPr>
        <w:t xml:space="preserve">do not have the same timing. </w:t>
      </w:r>
      <w:r w:rsidR="00A60E95" w:rsidRPr="00A60E95">
        <w:rPr>
          <w:bCs/>
          <w:sz w:val="22"/>
          <w:szCs w:val="22"/>
          <w:lang w:val="en-US" w:eastAsia="zh-CN"/>
        </w:rPr>
        <w:t xml:space="preserve"> </w:t>
      </w:r>
      <w:r w:rsidR="009F537A" w:rsidRPr="00A60E95">
        <w:rPr>
          <w:bCs/>
          <w:sz w:val="22"/>
          <w:szCs w:val="22"/>
          <w:lang w:val="en-US" w:eastAsia="zh-CN"/>
        </w:rPr>
        <w:t>In another example the IAB-MT and IAB-DU are implementing with shared hardware</w:t>
      </w:r>
      <w:r w:rsidR="00FA4FE5" w:rsidRPr="00A60E95">
        <w:rPr>
          <w:bCs/>
          <w:sz w:val="22"/>
          <w:szCs w:val="22"/>
          <w:lang w:val="en-US" w:eastAsia="zh-CN"/>
        </w:rPr>
        <w:t xml:space="preserve">. </w:t>
      </w:r>
      <w:r w:rsidR="0057034B" w:rsidRPr="00D83109">
        <w:rPr>
          <w:bCs/>
          <w:sz w:val="22"/>
          <w:szCs w:val="22"/>
          <w:lang w:val="en-US" w:eastAsia="zh-CN"/>
        </w:rPr>
        <w:t>In this case both IAB-MT and IAB-DU (in the same IAB node) have the same or similar timing</w:t>
      </w:r>
      <w:r w:rsidR="0076334F" w:rsidRPr="00D83109">
        <w:rPr>
          <w:bCs/>
          <w:sz w:val="22"/>
          <w:szCs w:val="22"/>
          <w:lang w:val="en-US" w:eastAsia="zh-CN"/>
        </w:rPr>
        <w:t xml:space="preserve">. The child </w:t>
      </w:r>
      <w:r w:rsidR="00C56B91" w:rsidRPr="00D83109">
        <w:rPr>
          <w:bCs/>
          <w:sz w:val="22"/>
          <w:szCs w:val="22"/>
          <w:lang w:val="en-US" w:eastAsia="zh-CN"/>
        </w:rPr>
        <w:t xml:space="preserve">IAB-DU and </w:t>
      </w:r>
      <w:r w:rsidR="00196CCD" w:rsidRPr="00D83109">
        <w:rPr>
          <w:bCs/>
          <w:sz w:val="22"/>
          <w:szCs w:val="22"/>
          <w:lang w:val="en-US" w:eastAsia="zh-CN"/>
        </w:rPr>
        <w:t xml:space="preserve">parent IAB-DU (parent of IAB-MT) are time aligned </w:t>
      </w:r>
      <w:r w:rsidR="003E1F7B" w:rsidRPr="00D83109">
        <w:rPr>
          <w:bCs/>
          <w:sz w:val="22"/>
          <w:szCs w:val="22"/>
          <w:lang w:val="en-US" w:eastAsia="zh-CN"/>
        </w:rPr>
        <w:t xml:space="preserve">within time alignment error (± 3 µ). Since IAB-MT and IAB-DU have the same timing, therefore the </w:t>
      </w:r>
      <w:r w:rsidR="0057034B" w:rsidRPr="00D83109">
        <w:rPr>
          <w:bCs/>
          <w:sz w:val="22"/>
          <w:szCs w:val="22"/>
          <w:lang w:val="en-US" w:eastAsia="zh-CN"/>
        </w:rPr>
        <w:t>parent IAB-DU</w:t>
      </w:r>
      <w:r w:rsidR="003E1F7B" w:rsidRPr="00D83109">
        <w:rPr>
          <w:bCs/>
          <w:sz w:val="22"/>
          <w:szCs w:val="22"/>
          <w:lang w:val="en-US" w:eastAsia="zh-CN"/>
        </w:rPr>
        <w:t xml:space="preserve"> needs to be aware of the IAB-MT transmission timing</w:t>
      </w:r>
      <w:r w:rsidR="0057034B" w:rsidRPr="00D83109">
        <w:rPr>
          <w:bCs/>
          <w:sz w:val="22"/>
          <w:szCs w:val="22"/>
          <w:lang w:val="en-US" w:eastAsia="zh-CN"/>
        </w:rPr>
        <w:t>.</w:t>
      </w:r>
      <w:r w:rsidR="003E1F7B" w:rsidRPr="00D83109">
        <w:rPr>
          <w:bCs/>
          <w:sz w:val="22"/>
          <w:szCs w:val="22"/>
          <w:lang w:val="en-US" w:eastAsia="zh-CN"/>
        </w:rPr>
        <w:t xml:space="preserve"> </w:t>
      </w:r>
    </w:p>
    <w:p w14:paraId="66BA62BC" w14:textId="77777777" w:rsidR="00A60E95" w:rsidRPr="00D83109" w:rsidRDefault="00A60E95" w:rsidP="00A60E95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bCs/>
          <w:sz w:val="22"/>
          <w:szCs w:val="22"/>
          <w:lang w:val="en-US" w:eastAsia="zh-CN"/>
        </w:rPr>
      </w:pPr>
    </w:p>
    <w:p w14:paraId="248E4D75" w14:textId="6A642022" w:rsidR="00A053B0" w:rsidRPr="00D83109" w:rsidRDefault="003E1F7B" w:rsidP="00A053B0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bCs/>
          <w:sz w:val="22"/>
          <w:szCs w:val="22"/>
          <w:lang w:val="en-US" w:eastAsia="zh-CN"/>
        </w:rPr>
      </w:pPr>
      <w:r w:rsidRPr="00A60E95">
        <w:rPr>
          <w:bCs/>
          <w:sz w:val="22"/>
          <w:szCs w:val="22"/>
          <w:lang w:val="en-US" w:eastAsia="zh-CN"/>
        </w:rPr>
        <w:t xml:space="preserve">To enable </w:t>
      </w:r>
      <w:r w:rsidR="00780556" w:rsidRPr="00A60E95">
        <w:rPr>
          <w:bCs/>
          <w:sz w:val="22"/>
          <w:szCs w:val="22"/>
          <w:lang w:val="en-US" w:eastAsia="zh-CN"/>
        </w:rPr>
        <w:t xml:space="preserve">Case # 6 timing in this scenario, RAN1 </w:t>
      </w:r>
      <w:r w:rsidR="00A60E95">
        <w:rPr>
          <w:bCs/>
          <w:sz w:val="22"/>
          <w:szCs w:val="22"/>
          <w:lang w:val="en-US" w:eastAsia="zh-CN"/>
        </w:rPr>
        <w:t xml:space="preserve">has been </w:t>
      </w:r>
      <w:r w:rsidR="00780556" w:rsidRPr="00A60E95">
        <w:rPr>
          <w:bCs/>
          <w:sz w:val="22"/>
          <w:szCs w:val="22"/>
          <w:lang w:val="en-US" w:eastAsia="zh-CN"/>
        </w:rPr>
        <w:t>discussing</w:t>
      </w:r>
      <w:r w:rsidR="00B52697" w:rsidRPr="00A60E95">
        <w:rPr>
          <w:bCs/>
          <w:sz w:val="22"/>
          <w:szCs w:val="22"/>
          <w:lang w:val="en-US" w:eastAsia="zh-CN"/>
        </w:rPr>
        <w:t xml:space="preserve"> different solutions including signaling and non-signaling based</w:t>
      </w:r>
      <w:r w:rsidR="00A60E95">
        <w:rPr>
          <w:bCs/>
          <w:sz w:val="22"/>
          <w:szCs w:val="22"/>
          <w:lang w:val="en-US" w:eastAsia="zh-CN"/>
        </w:rPr>
        <w:t xml:space="preserve"> mechanisms</w:t>
      </w:r>
      <w:r w:rsidR="00B52697" w:rsidRPr="00A60E95">
        <w:rPr>
          <w:bCs/>
          <w:sz w:val="22"/>
          <w:szCs w:val="22"/>
          <w:lang w:val="en-US" w:eastAsia="zh-CN"/>
        </w:rPr>
        <w:t xml:space="preserve">. </w:t>
      </w:r>
      <w:r w:rsidR="00B52697" w:rsidRPr="00D83109">
        <w:rPr>
          <w:bCs/>
          <w:sz w:val="22"/>
          <w:szCs w:val="22"/>
          <w:lang w:val="en-US" w:eastAsia="zh-CN"/>
        </w:rPr>
        <w:t xml:space="preserve">RF group is also discussing the RF architectural aspects and </w:t>
      </w:r>
      <w:r w:rsidR="003B2850" w:rsidRPr="00D83109">
        <w:rPr>
          <w:bCs/>
          <w:sz w:val="22"/>
          <w:szCs w:val="22"/>
          <w:lang w:val="en-US" w:eastAsia="zh-CN"/>
        </w:rPr>
        <w:t xml:space="preserve">impact on RF requirements for different options of implementing IAB-MT and IAB-DU in the same IAB node. </w:t>
      </w:r>
    </w:p>
    <w:p w14:paraId="1E319AF6" w14:textId="14D3CA39" w:rsidR="00866A86" w:rsidRDefault="00866A86" w:rsidP="00A053B0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bCs/>
          <w:sz w:val="22"/>
          <w:szCs w:val="22"/>
          <w:lang w:val="en-US" w:eastAsia="zh-CN"/>
        </w:rPr>
      </w:pPr>
    </w:p>
    <w:p w14:paraId="0764E5FD" w14:textId="5DE4D094" w:rsidR="00866A86" w:rsidRPr="00A053B0" w:rsidRDefault="00866A86" w:rsidP="00866A86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bCs/>
          <w:sz w:val="22"/>
          <w:szCs w:val="22"/>
          <w:lang w:val="en-US" w:eastAsia="zh-CN"/>
        </w:rPr>
      </w:pPr>
      <w:r w:rsidRPr="00A053B0">
        <w:rPr>
          <w:bCs/>
          <w:sz w:val="22"/>
          <w:szCs w:val="22"/>
          <w:lang w:val="en-US" w:eastAsia="zh-CN"/>
        </w:rPr>
        <w:t>I</w:t>
      </w:r>
      <w:r w:rsidRPr="00151FEC">
        <w:rPr>
          <w:bCs/>
          <w:sz w:val="22"/>
          <w:szCs w:val="22"/>
          <w:lang w:val="en-US" w:eastAsia="zh-CN"/>
        </w:rPr>
        <w:t xml:space="preserve">n RAN1#106-e </w:t>
      </w:r>
      <w:r>
        <w:rPr>
          <w:bCs/>
          <w:sz w:val="22"/>
          <w:szCs w:val="22"/>
          <w:lang w:val="en-US" w:eastAsia="zh-CN"/>
        </w:rPr>
        <w:t>meeting in August, the following agreement related to Case # 6 timing was reached:</w:t>
      </w:r>
    </w:p>
    <w:p w14:paraId="1C01AD5F" w14:textId="77777777" w:rsidR="00866A86" w:rsidRPr="00866A86" w:rsidRDefault="00866A86" w:rsidP="00A053B0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bCs/>
          <w:sz w:val="22"/>
          <w:szCs w:val="22"/>
          <w:lang w:val="en-US" w:eastAsia="zh-CN"/>
        </w:rPr>
      </w:pPr>
    </w:p>
    <w:p w14:paraId="739F066E" w14:textId="77777777" w:rsidR="00866A86" w:rsidRPr="008E0D6C" w:rsidRDefault="00866A86" w:rsidP="00866A86">
      <w:pPr>
        <w:pBdr>
          <w:top w:val="single" w:sz="4" w:space="1" w:color="auto"/>
        </w:pBdr>
        <w:rPr>
          <w:b/>
          <w:bCs/>
          <w:i/>
          <w:iCs/>
          <w:sz w:val="20"/>
          <w:szCs w:val="20"/>
          <w:highlight w:val="green"/>
          <w:lang w:val="en-US"/>
        </w:rPr>
      </w:pPr>
      <w:r w:rsidRPr="008E0D6C">
        <w:rPr>
          <w:b/>
          <w:bCs/>
          <w:i/>
          <w:iCs/>
          <w:sz w:val="20"/>
          <w:szCs w:val="20"/>
          <w:highlight w:val="green"/>
          <w:lang w:val="en-US"/>
        </w:rPr>
        <w:t>Agreement</w:t>
      </w:r>
    </w:p>
    <w:p w14:paraId="36C68D9E" w14:textId="77777777" w:rsidR="00866A86" w:rsidRPr="008E0D6C" w:rsidRDefault="00866A86" w:rsidP="00866A86">
      <w:pPr>
        <w:rPr>
          <w:i/>
          <w:iCs/>
          <w:sz w:val="20"/>
          <w:szCs w:val="20"/>
          <w:lang w:val="en-US"/>
        </w:rPr>
      </w:pPr>
      <w:r w:rsidRPr="008E0D6C">
        <w:rPr>
          <w:i/>
          <w:iCs/>
          <w:sz w:val="20"/>
          <w:szCs w:val="20"/>
          <w:lang w:val="en-US"/>
        </w:rPr>
        <w:t>For Case-6 timing at a given IAB-node, the IAB-MT Tx timing is set by the node to the timing obtained for the node’s DL Tx.</w:t>
      </w:r>
    </w:p>
    <w:p w14:paraId="7A33B059" w14:textId="77777777" w:rsidR="00866A86" w:rsidRPr="008E0D6C" w:rsidRDefault="00866A86" w:rsidP="00866A86">
      <w:pPr>
        <w:pStyle w:val="ListParagraph"/>
        <w:numPr>
          <w:ilvl w:val="0"/>
          <w:numId w:val="42"/>
        </w:numPr>
        <w:pBdr>
          <w:bottom w:val="single" w:sz="4" w:space="1" w:color="auto"/>
        </w:pBdr>
        <w:textAlignment w:val="baseline"/>
        <w:rPr>
          <w:rFonts w:ascii="Times New Roman" w:hAnsi="Times New Roman"/>
          <w:i/>
          <w:iCs/>
          <w:sz w:val="20"/>
          <w:szCs w:val="20"/>
        </w:rPr>
      </w:pPr>
      <w:r w:rsidRPr="008E0D6C">
        <w:rPr>
          <w:rFonts w:ascii="Times New Roman" w:hAnsi="Times New Roman"/>
          <w:i/>
          <w:iCs/>
          <w:sz w:val="20"/>
          <w:szCs w:val="20"/>
        </w:rPr>
        <w:t xml:space="preserve">FFS: Need for additional details with reference to support of OTA synchronization (e.g. </w:t>
      </w:r>
      <w:proofErr w:type="spellStart"/>
      <w:r w:rsidRPr="008E0D6C">
        <w:rPr>
          <w:rFonts w:ascii="Times New Roman" w:hAnsi="Times New Roman"/>
          <w:i/>
          <w:iCs/>
          <w:sz w:val="20"/>
          <w:szCs w:val="20"/>
        </w:rPr>
        <w:t>T_delta</w:t>
      </w:r>
      <w:proofErr w:type="spellEnd"/>
      <w:r w:rsidRPr="008E0D6C">
        <w:rPr>
          <w:rFonts w:ascii="Times New Roman" w:hAnsi="Times New Roman"/>
          <w:i/>
          <w:iCs/>
          <w:sz w:val="20"/>
          <w:szCs w:val="20"/>
        </w:rPr>
        <w:t>)</w:t>
      </w:r>
    </w:p>
    <w:p w14:paraId="0FA3110D" w14:textId="4DCED219" w:rsidR="00151FEC" w:rsidRPr="00151FEC" w:rsidRDefault="00A053B0" w:rsidP="00866A86">
      <w:pPr>
        <w:overflowPunct w:val="0"/>
        <w:autoSpaceDE w:val="0"/>
        <w:autoSpaceDN w:val="0"/>
        <w:adjustRightInd w:val="0"/>
        <w:spacing w:before="240" w:line="259" w:lineRule="auto"/>
        <w:textAlignment w:val="baseline"/>
        <w:rPr>
          <w:bCs/>
          <w:sz w:val="22"/>
          <w:szCs w:val="22"/>
          <w:lang w:val="en-US" w:eastAsia="zh-CN"/>
        </w:rPr>
      </w:pPr>
      <w:r w:rsidRPr="00A053B0">
        <w:rPr>
          <w:bCs/>
          <w:sz w:val="22"/>
          <w:szCs w:val="22"/>
          <w:lang w:val="en-US" w:eastAsia="zh-CN"/>
        </w:rPr>
        <w:t>I</w:t>
      </w:r>
      <w:r w:rsidR="00151FEC" w:rsidRPr="00151FEC">
        <w:rPr>
          <w:bCs/>
          <w:sz w:val="22"/>
          <w:szCs w:val="22"/>
          <w:lang w:val="en-US" w:eastAsia="zh-CN"/>
        </w:rPr>
        <w:t xml:space="preserve">n RAN1#106bis-e </w:t>
      </w:r>
      <w:r>
        <w:rPr>
          <w:bCs/>
          <w:sz w:val="22"/>
          <w:szCs w:val="22"/>
          <w:lang w:val="en-US" w:eastAsia="zh-CN"/>
        </w:rPr>
        <w:t xml:space="preserve">meeting in </w:t>
      </w:r>
      <w:r w:rsidR="00151FEC" w:rsidRPr="00151FEC">
        <w:rPr>
          <w:bCs/>
          <w:sz w:val="22"/>
          <w:szCs w:val="22"/>
          <w:lang w:val="en-US" w:eastAsia="zh-CN"/>
        </w:rPr>
        <w:t>October</w:t>
      </w:r>
      <w:r>
        <w:rPr>
          <w:bCs/>
          <w:sz w:val="22"/>
          <w:szCs w:val="22"/>
          <w:lang w:val="en-US" w:eastAsia="zh-CN"/>
        </w:rPr>
        <w:t xml:space="preserve">, the following </w:t>
      </w:r>
      <w:r w:rsidR="00866A86">
        <w:rPr>
          <w:bCs/>
          <w:sz w:val="22"/>
          <w:szCs w:val="22"/>
          <w:lang w:val="en-US" w:eastAsia="zh-CN"/>
        </w:rPr>
        <w:t xml:space="preserve">further </w:t>
      </w:r>
      <w:r>
        <w:rPr>
          <w:bCs/>
          <w:sz w:val="22"/>
          <w:szCs w:val="22"/>
          <w:lang w:val="en-US" w:eastAsia="zh-CN"/>
        </w:rPr>
        <w:t>agreement related to Case # 6 timing was reached:</w:t>
      </w:r>
    </w:p>
    <w:p w14:paraId="7FD19998" w14:textId="77777777" w:rsidR="004C1F10" w:rsidRPr="004C1F10" w:rsidRDefault="004C1F10" w:rsidP="00866A86">
      <w:pPr>
        <w:pBdr>
          <w:top w:val="single" w:sz="4" w:space="1" w:color="auto"/>
        </w:pBdr>
        <w:shd w:val="clear" w:color="auto" w:fill="FFFFFF"/>
        <w:spacing w:before="240"/>
        <w:rPr>
          <w:i/>
          <w:iCs/>
          <w:sz w:val="20"/>
          <w:szCs w:val="20"/>
          <w:lang w:val="en-US"/>
        </w:rPr>
      </w:pPr>
      <w:r w:rsidRPr="004C1F10">
        <w:rPr>
          <w:b/>
          <w:bCs/>
          <w:i/>
          <w:iCs/>
          <w:sz w:val="20"/>
          <w:szCs w:val="20"/>
          <w:shd w:val="clear" w:color="auto" w:fill="00FF00"/>
          <w:lang w:val="en-GB"/>
        </w:rPr>
        <w:t>Agreement</w:t>
      </w:r>
    </w:p>
    <w:p w14:paraId="26FE64D1" w14:textId="77777777" w:rsidR="004C1F10" w:rsidRPr="004C1F10" w:rsidRDefault="004C1F10" w:rsidP="00CE51BD">
      <w:pPr>
        <w:pBdr>
          <w:top w:val="single" w:sz="4" w:space="1" w:color="auto"/>
        </w:pBdr>
        <w:shd w:val="clear" w:color="auto" w:fill="FFFFFF"/>
        <w:spacing w:before="100" w:beforeAutospacing="1"/>
        <w:rPr>
          <w:i/>
          <w:iCs/>
          <w:sz w:val="20"/>
          <w:szCs w:val="20"/>
          <w:lang w:val="en-US"/>
        </w:rPr>
      </w:pPr>
      <w:r w:rsidRPr="004C1F10">
        <w:rPr>
          <w:i/>
          <w:iCs/>
          <w:sz w:val="20"/>
          <w:szCs w:val="20"/>
          <w:lang w:val="en-US"/>
        </w:rPr>
        <w:t xml:space="preserve">RAN1 to </w:t>
      </w:r>
      <w:proofErr w:type="spellStart"/>
      <w:r w:rsidRPr="004C1F10">
        <w:rPr>
          <w:i/>
          <w:iCs/>
          <w:sz w:val="20"/>
          <w:szCs w:val="20"/>
          <w:lang w:val="en-US"/>
        </w:rPr>
        <w:t>downselect</w:t>
      </w:r>
      <w:proofErr w:type="spellEnd"/>
      <w:r w:rsidRPr="004C1F10">
        <w:rPr>
          <w:i/>
          <w:iCs/>
          <w:sz w:val="20"/>
          <w:szCs w:val="20"/>
          <w:lang w:val="en-US"/>
        </w:rPr>
        <w:t xml:space="preserve"> in RAN1#107-e one of the following for an OTA timing synchronization mechanism to enable/maintain Case 6 timing mode:</w:t>
      </w:r>
    </w:p>
    <w:p w14:paraId="086E5E80" w14:textId="77777777" w:rsidR="004C1F10" w:rsidRPr="004C1F10" w:rsidRDefault="004C1F10" w:rsidP="00CE51BD">
      <w:pPr>
        <w:numPr>
          <w:ilvl w:val="0"/>
          <w:numId w:val="41"/>
        </w:numPr>
        <w:shd w:val="clear" w:color="auto" w:fill="FFFFFF"/>
        <w:spacing w:before="100" w:beforeAutospacing="1"/>
        <w:rPr>
          <w:i/>
          <w:iCs/>
          <w:sz w:val="20"/>
          <w:szCs w:val="20"/>
          <w:lang w:val="en-US"/>
        </w:rPr>
      </w:pPr>
      <w:r w:rsidRPr="004C1F10">
        <w:rPr>
          <w:i/>
          <w:iCs/>
          <w:sz w:val="20"/>
          <w:szCs w:val="20"/>
          <w:lang w:val="en-US"/>
        </w:rPr>
        <w:t>Alt 1: no change or enhancement to the Rel-16 OTA synchronization specification is supported in Rel-17 for Case 6 timing.</w:t>
      </w:r>
    </w:p>
    <w:p w14:paraId="0D2C0D4D" w14:textId="77777777" w:rsidR="004C1F10" w:rsidRPr="004C1F10" w:rsidRDefault="004C1F10" w:rsidP="00CE51BD">
      <w:pPr>
        <w:numPr>
          <w:ilvl w:val="0"/>
          <w:numId w:val="41"/>
        </w:numPr>
        <w:shd w:val="clear" w:color="auto" w:fill="FFFFFF"/>
        <w:spacing w:before="100" w:beforeAutospacing="1"/>
        <w:rPr>
          <w:i/>
          <w:iCs/>
          <w:sz w:val="20"/>
          <w:szCs w:val="20"/>
          <w:lang w:val="en-US"/>
        </w:rPr>
      </w:pPr>
      <w:r w:rsidRPr="004C1F10">
        <w:rPr>
          <w:i/>
          <w:iCs/>
          <w:sz w:val="20"/>
          <w:szCs w:val="20"/>
          <w:lang w:val="en-US"/>
        </w:rPr>
        <w:t>Alt 2: </w:t>
      </w:r>
      <w:r w:rsidRPr="004C1F10">
        <w:rPr>
          <w:b/>
          <w:bCs/>
          <w:i/>
          <w:iCs/>
          <w:sz w:val="20"/>
          <w:szCs w:val="20"/>
          <w:lang w:val="en-US"/>
        </w:rPr>
        <w:t>in Rel-17 the Rel-16 OTA synchronization specification is updated </w:t>
      </w:r>
      <w:r w:rsidRPr="004C1F10">
        <w:rPr>
          <w:i/>
          <w:iCs/>
          <w:sz w:val="20"/>
          <w:szCs w:val="20"/>
          <w:lang w:val="en-US"/>
        </w:rPr>
        <w:t>to support OTA synchronization for an IAB-node operating solely in Case 6 timing during IAB-MT Tx.</w:t>
      </w:r>
    </w:p>
    <w:p w14:paraId="6E06EA4F" w14:textId="77777777" w:rsidR="004C1F10" w:rsidRPr="004C1F10" w:rsidRDefault="004C1F10" w:rsidP="00CE51BD">
      <w:pPr>
        <w:numPr>
          <w:ilvl w:val="1"/>
          <w:numId w:val="41"/>
        </w:numPr>
        <w:shd w:val="clear" w:color="auto" w:fill="FFFFFF"/>
        <w:spacing w:before="100" w:beforeAutospacing="1"/>
        <w:rPr>
          <w:i/>
          <w:iCs/>
          <w:sz w:val="20"/>
          <w:szCs w:val="20"/>
          <w:lang w:val="en-US"/>
        </w:rPr>
      </w:pPr>
      <w:r w:rsidRPr="004C1F10">
        <w:rPr>
          <w:i/>
          <w:iCs/>
          <w:sz w:val="20"/>
          <w:szCs w:val="20"/>
          <w:lang w:val="en-US"/>
        </w:rPr>
        <w:t xml:space="preserve">FFS range of </w:t>
      </w:r>
      <w:proofErr w:type="spellStart"/>
      <w:r w:rsidRPr="004C1F10">
        <w:rPr>
          <w:i/>
          <w:iCs/>
          <w:sz w:val="20"/>
          <w:szCs w:val="20"/>
          <w:lang w:val="en-US"/>
        </w:rPr>
        <w:t>T_delta</w:t>
      </w:r>
      <w:proofErr w:type="spellEnd"/>
      <w:r w:rsidRPr="004C1F10">
        <w:rPr>
          <w:i/>
          <w:iCs/>
          <w:sz w:val="20"/>
          <w:szCs w:val="20"/>
          <w:lang w:val="en-US"/>
        </w:rPr>
        <w:t>.</w:t>
      </w:r>
    </w:p>
    <w:p w14:paraId="1A57C067" w14:textId="77777777" w:rsidR="004C1F10" w:rsidRPr="004C1F10" w:rsidRDefault="004C1F10" w:rsidP="00CE51BD">
      <w:pPr>
        <w:pBdr>
          <w:bottom w:val="single" w:sz="4" w:space="1" w:color="auto"/>
        </w:pBdr>
        <w:shd w:val="clear" w:color="auto" w:fill="FFFFFF"/>
        <w:spacing w:before="100" w:beforeAutospacing="1"/>
        <w:rPr>
          <w:i/>
          <w:iCs/>
          <w:sz w:val="20"/>
          <w:szCs w:val="20"/>
          <w:lang w:val="en-US"/>
        </w:rPr>
      </w:pPr>
      <w:r w:rsidRPr="004C1F10">
        <w:rPr>
          <w:i/>
          <w:iCs/>
          <w:sz w:val="20"/>
          <w:szCs w:val="20"/>
          <w:lang w:val="en-US"/>
        </w:rPr>
        <w:t>NOTE: this is to provide a feasible solution to the RAN1#103-e agreement: “An IAB-node can rely on an OTA timing synchronization mechanism to enable/maintain Case 6 timing mode”</w:t>
      </w:r>
    </w:p>
    <w:p w14:paraId="5EBB37D1" w14:textId="752208B4" w:rsidR="00866A86" w:rsidRPr="009C2F19" w:rsidRDefault="00866A86" w:rsidP="00342144">
      <w:pPr>
        <w:overflowPunct w:val="0"/>
        <w:autoSpaceDE w:val="0"/>
        <w:autoSpaceDN w:val="0"/>
        <w:adjustRightInd w:val="0"/>
        <w:spacing w:before="240" w:line="259" w:lineRule="auto"/>
        <w:textAlignment w:val="baseline"/>
        <w:rPr>
          <w:bCs/>
          <w:sz w:val="22"/>
          <w:szCs w:val="22"/>
          <w:lang w:val="en-US" w:eastAsia="zh-CN"/>
        </w:rPr>
      </w:pPr>
      <w:r>
        <w:rPr>
          <w:bCs/>
          <w:sz w:val="22"/>
          <w:szCs w:val="22"/>
          <w:lang w:val="en-US" w:eastAsia="zh-CN"/>
        </w:rPr>
        <w:t xml:space="preserve">Firstly, the </w:t>
      </w:r>
      <w:r w:rsidR="00186011">
        <w:rPr>
          <w:bCs/>
          <w:sz w:val="22"/>
          <w:szCs w:val="22"/>
          <w:lang w:val="en-US" w:eastAsia="zh-CN"/>
        </w:rPr>
        <w:t xml:space="preserve">RAN1 </w:t>
      </w:r>
      <w:r>
        <w:rPr>
          <w:bCs/>
          <w:sz w:val="22"/>
          <w:szCs w:val="22"/>
          <w:lang w:val="en-US" w:eastAsia="zh-CN"/>
        </w:rPr>
        <w:t>agreement means</w:t>
      </w:r>
      <w:r w:rsidR="00186011">
        <w:rPr>
          <w:bCs/>
          <w:sz w:val="22"/>
          <w:szCs w:val="22"/>
          <w:lang w:val="en-US" w:eastAsia="zh-CN"/>
        </w:rPr>
        <w:t xml:space="preserve"> that </w:t>
      </w:r>
      <w:r w:rsidR="00106D5E">
        <w:rPr>
          <w:bCs/>
          <w:sz w:val="22"/>
          <w:szCs w:val="22"/>
          <w:lang w:val="en-US" w:eastAsia="zh-CN"/>
        </w:rPr>
        <w:t xml:space="preserve">for </w:t>
      </w:r>
      <w:r w:rsidR="000F03B8">
        <w:rPr>
          <w:bCs/>
          <w:sz w:val="22"/>
          <w:szCs w:val="22"/>
          <w:lang w:val="en-US" w:eastAsia="zh-CN"/>
        </w:rPr>
        <w:t>C</w:t>
      </w:r>
      <w:r w:rsidR="00106D5E">
        <w:rPr>
          <w:bCs/>
          <w:sz w:val="22"/>
          <w:szCs w:val="22"/>
          <w:lang w:val="en-US" w:eastAsia="zh-CN"/>
        </w:rPr>
        <w:t>ase 6 timing</w:t>
      </w:r>
      <w:r w:rsidR="000F03B8">
        <w:rPr>
          <w:bCs/>
          <w:sz w:val="22"/>
          <w:szCs w:val="22"/>
          <w:lang w:val="en-US" w:eastAsia="zh-CN"/>
        </w:rPr>
        <w:t xml:space="preserve">, the </w:t>
      </w:r>
      <w:r w:rsidR="000F03B8" w:rsidRPr="000F03B8">
        <w:rPr>
          <w:bCs/>
          <w:sz w:val="22"/>
          <w:szCs w:val="22"/>
          <w:lang w:val="en-US" w:eastAsia="zh-CN"/>
        </w:rPr>
        <w:t>OTA timing synchronization</w:t>
      </w:r>
      <w:r w:rsidR="000F03B8">
        <w:rPr>
          <w:bCs/>
          <w:sz w:val="22"/>
          <w:szCs w:val="22"/>
          <w:lang w:val="en-US" w:eastAsia="zh-CN"/>
        </w:rPr>
        <w:t xml:space="preserve"> is </w:t>
      </w:r>
      <w:r w:rsidR="003808BE">
        <w:rPr>
          <w:bCs/>
          <w:sz w:val="22"/>
          <w:szCs w:val="22"/>
          <w:lang w:val="en-US" w:eastAsia="zh-CN"/>
        </w:rPr>
        <w:t>achieved by</w:t>
      </w:r>
      <w:r w:rsidR="000F03B8">
        <w:rPr>
          <w:bCs/>
          <w:sz w:val="22"/>
          <w:szCs w:val="22"/>
          <w:lang w:val="en-US" w:eastAsia="zh-CN"/>
        </w:rPr>
        <w:t xml:space="preserve"> </w:t>
      </w:r>
      <w:r w:rsidR="00DF556E">
        <w:rPr>
          <w:bCs/>
          <w:sz w:val="22"/>
          <w:szCs w:val="22"/>
          <w:lang w:val="en-US" w:eastAsia="zh-CN"/>
        </w:rPr>
        <w:t xml:space="preserve">setting the </w:t>
      </w:r>
      <w:r w:rsidR="003808BE" w:rsidRPr="003808BE">
        <w:rPr>
          <w:bCs/>
          <w:sz w:val="22"/>
          <w:szCs w:val="22"/>
          <w:lang w:val="en-US" w:eastAsia="zh-CN"/>
        </w:rPr>
        <w:t xml:space="preserve">IAB-MT </w:t>
      </w:r>
      <w:r w:rsidR="003808BE">
        <w:rPr>
          <w:bCs/>
          <w:sz w:val="22"/>
          <w:szCs w:val="22"/>
          <w:lang w:val="en-US" w:eastAsia="zh-CN"/>
        </w:rPr>
        <w:t xml:space="preserve">transmit </w:t>
      </w:r>
      <w:r w:rsidR="003808BE" w:rsidRPr="003808BE">
        <w:rPr>
          <w:bCs/>
          <w:sz w:val="22"/>
          <w:szCs w:val="22"/>
          <w:lang w:val="en-US" w:eastAsia="zh-CN"/>
        </w:rPr>
        <w:t>timing to the IAB-DU downlink timing</w:t>
      </w:r>
      <w:r w:rsidR="009C2F19">
        <w:rPr>
          <w:bCs/>
          <w:sz w:val="22"/>
          <w:szCs w:val="22"/>
          <w:lang w:val="en-US" w:eastAsia="zh-CN"/>
        </w:rPr>
        <w:t xml:space="preserve"> e.g. by </w:t>
      </w:r>
      <w:proofErr w:type="spellStart"/>
      <w:r w:rsidR="009C2F19" w:rsidRPr="009C2F19">
        <w:rPr>
          <w:bCs/>
          <w:sz w:val="22"/>
          <w:szCs w:val="22"/>
          <w:lang w:val="en-US" w:eastAsia="zh-CN"/>
        </w:rPr>
        <w:t>T_delta</w:t>
      </w:r>
      <w:proofErr w:type="spellEnd"/>
      <w:r w:rsidR="009C2F19">
        <w:rPr>
          <w:bCs/>
          <w:sz w:val="22"/>
          <w:szCs w:val="22"/>
          <w:lang w:val="en-US" w:eastAsia="zh-CN"/>
        </w:rPr>
        <w:t xml:space="preserve"> signaling. </w:t>
      </w:r>
    </w:p>
    <w:p w14:paraId="60B606CD" w14:textId="77777777" w:rsidR="009C2F19" w:rsidRDefault="00342144" w:rsidP="009C2F19">
      <w:pPr>
        <w:overflowPunct w:val="0"/>
        <w:autoSpaceDE w:val="0"/>
        <w:autoSpaceDN w:val="0"/>
        <w:adjustRightInd w:val="0"/>
        <w:spacing w:before="240" w:line="259" w:lineRule="auto"/>
        <w:textAlignment w:val="baseline"/>
        <w:rPr>
          <w:bCs/>
          <w:sz w:val="22"/>
          <w:szCs w:val="22"/>
          <w:lang w:val="en-US" w:eastAsia="zh-CN"/>
        </w:rPr>
      </w:pPr>
      <w:r>
        <w:rPr>
          <w:bCs/>
          <w:sz w:val="22"/>
          <w:szCs w:val="22"/>
          <w:lang w:val="en-US" w:eastAsia="zh-CN"/>
        </w:rPr>
        <w:t>According t</w:t>
      </w:r>
      <w:r w:rsidR="008231BB">
        <w:rPr>
          <w:bCs/>
          <w:sz w:val="22"/>
          <w:szCs w:val="22"/>
          <w:lang w:val="en-US" w:eastAsia="zh-CN"/>
        </w:rPr>
        <w:t xml:space="preserve">o the </w:t>
      </w:r>
      <w:r>
        <w:rPr>
          <w:bCs/>
          <w:sz w:val="22"/>
          <w:szCs w:val="22"/>
          <w:lang w:val="en-US" w:eastAsia="zh-CN"/>
        </w:rPr>
        <w:t>options</w:t>
      </w:r>
      <w:r w:rsidR="00966D83">
        <w:rPr>
          <w:bCs/>
          <w:sz w:val="22"/>
          <w:szCs w:val="22"/>
          <w:lang w:val="en-US" w:eastAsia="zh-CN"/>
        </w:rPr>
        <w:t xml:space="preserve"> </w:t>
      </w:r>
      <w:r w:rsidR="008231BB">
        <w:rPr>
          <w:bCs/>
          <w:sz w:val="22"/>
          <w:szCs w:val="22"/>
          <w:lang w:val="en-US" w:eastAsia="zh-CN"/>
        </w:rPr>
        <w:t>identified at RAN1#106bis-e</w:t>
      </w:r>
      <w:r>
        <w:rPr>
          <w:bCs/>
          <w:sz w:val="22"/>
          <w:szCs w:val="22"/>
          <w:lang w:val="en-US" w:eastAsia="zh-CN"/>
        </w:rPr>
        <w:t xml:space="preserve">, if alternative #1 is agreed </w:t>
      </w:r>
      <w:r w:rsidR="008231BB">
        <w:rPr>
          <w:bCs/>
          <w:sz w:val="22"/>
          <w:szCs w:val="22"/>
          <w:lang w:val="en-US" w:eastAsia="zh-CN"/>
        </w:rPr>
        <w:t xml:space="preserve">by RAN1 </w:t>
      </w:r>
      <w:r>
        <w:rPr>
          <w:bCs/>
          <w:sz w:val="22"/>
          <w:szCs w:val="22"/>
          <w:lang w:val="en-US" w:eastAsia="zh-CN"/>
        </w:rPr>
        <w:t>then obviously there is no RAN4 impact. But</w:t>
      </w:r>
      <w:r w:rsidR="009806A5">
        <w:rPr>
          <w:bCs/>
          <w:sz w:val="22"/>
          <w:szCs w:val="22"/>
          <w:lang w:val="en-US" w:eastAsia="zh-CN"/>
        </w:rPr>
        <w:t xml:space="preserve"> if alternative #2 is agreed then there is possible change to the </w:t>
      </w:r>
      <w:proofErr w:type="spellStart"/>
      <w:r w:rsidR="009806A5">
        <w:rPr>
          <w:bCs/>
          <w:sz w:val="22"/>
          <w:szCs w:val="22"/>
          <w:lang w:val="en-US" w:eastAsia="zh-CN"/>
        </w:rPr>
        <w:t>T_delta</w:t>
      </w:r>
      <w:proofErr w:type="spellEnd"/>
      <w:r w:rsidR="009806A5">
        <w:rPr>
          <w:bCs/>
          <w:sz w:val="22"/>
          <w:szCs w:val="22"/>
          <w:lang w:val="en-US" w:eastAsia="zh-CN"/>
        </w:rPr>
        <w:t xml:space="preserve"> range defined in Rel-16. </w:t>
      </w:r>
      <w:r>
        <w:rPr>
          <w:bCs/>
          <w:sz w:val="22"/>
          <w:szCs w:val="22"/>
          <w:lang w:val="en-US" w:eastAsia="zh-CN"/>
        </w:rPr>
        <w:t>However</w:t>
      </w:r>
      <w:r w:rsidR="009C2F19">
        <w:rPr>
          <w:bCs/>
          <w:sz w:val="22"/>
          <w:szCs w:val="22"/>
          <w:lang w:val="en-US" w:eastAsia="zh-CN"/>
        </w:rPr>
        <w:t xml:space="preserve">, the </w:t>
      </w:r>
      <w:r>
        <w:rPr>
          <w:bCs/>
          <w:sz w:val="22"/>
          <w:szCs w:val="22"/>
          <w:lang w:val="en-US" w:eastAsia="zh-CN"/>
        </w:rPr>
        <w:t xml:space="preserve">extension of the </w:t>
      </w:r>
      <w:proofErr w:type="spellStart"/>
      <w:r w:rsidR="009C2F19">
        <w:rPr>
          <w:bCs/>
          <w:sz w:val="22"/>
          <w:szCs w:val="22"/>
          <w:lang w:val="en-US" w:eastAsia="zh-CN"/>
        </w:rPr>
        <w:t>T_delta</w:t>
      </w:r>
      <w:proofErr w:type="spellEnd"/>
      <w:r w:rsidR="009C2F19">
        <w:rPr>
          <w:bCs/>
          <w:sz w:val="22"/>
          <w:szCs w:val="22"/>
          <w:lang w:val="en-US" w:eastAsia="zh-CN"/>
        </w:rPr>
        <w:t xml:space="preserve"> </w:t>
      </w:r>
      <w:r>
        <w:rPr>
          <w:bCs/>
          <w:sz w:val="22"/>
          <w:szCs w:val="22"/>
          <w:lang w:val="en-US" w:eastAsia="zh-CN"/>
        </w:rPr>
        <w:t xml:space="preserve">range </w:t>
      </w:r>
      <w:r w:rsidR="00922343">
        <w:rPr>
          <w:bCs/>
          <w:sz w:val="22"/>
          <w:szCs w:val="22"/>
          <w:lang w:val="en-US" w:eastAsia="zh-CN"/>
        </w:rPr>
        <w:t xml:space="preserve">is related to increasing the number of signaling bits which is mainly RAN2 </w:t>
      </w:r>
      <w:r w:rsidR="009C2F19">
        <w:rPr>
          <w:bCs/>
          <w:sz w:val="22"/>
          <w:szCs w:val="22"/>
          <w:lang w:val="en-US" w:eastAsia="zh-CN"/>
        </w:rPr>
        <w:t>issue</w:t>
      </w:r>
      <w:r w:rsidR="00922343">
        <w:rPr>
          <w:bCs/>
          <w:sz w:val="22"/>
          <w:szCs w:val="22"/>
          <w:lang w:val="en-US" w:eastAsia="zh-CN"/>
        </w:rPr>
        <w:t xml:space="preserve">. </w:t>
      </w:r>
    </w:p>
    <w:p w14:paraId="11F8B2DE" w14:textId="212E4C13" w:rsidR="003259F6" w:rsidRPr="003259F6" w:rsidRDefault="009C2F19" w:rsidP="000D61E5">
      <w:pPr>
        <w:overflowPunct w:val="0"/>
        <w:autoSpaceDE w:val="0"/>
        <w:autoSpaceDN w:val="0"/>
        <w:adjustRightInd w:val="0"/>
        <w:spacing w:before="240" w:line="259" w:lineRule="auto"/>
        <w:textAlignment w:val="baseline"/>
        <w:rPr>
          <w:bCs/>
          <w:sz w:val="22"/>
          <w:szCs w:val="22"/>
          <w:lang w:val="en-US" w:eastAsia="zh-CN"/>
        </w:rPr>
      </w:pPr>
      <w:r>
        <w:rPr>
          <w:bCs/>
          <w:sz w:val="22"/>
          <w:szCs w:val="22"/>
          <w:lang w:val="en-US" w:eastAsia="zh-CN"/>
        </w:rPr>
        <w:t xml:space="preserve">In summary </w:t>
      </w:r>
      <w:r w:rsidR="00A053B0" w:rsidRPr="00A053B0">
        <w:rPr>
          <w:bCs/>
          <w:sz w:val="22"/>
          <w:szCs w:val="22"/>
          <w:lang w:val="en-US" w:eastAsia="zh-CN"/>
        </w:rPr>
        <w:t>RRM group should wait for further agreements in RAN1</w:t>
      </w:r>
      <w:r>
        <w:rPr>
          <w:bCs/>
          <w:sz w:val="22"/>
          <w:szCs w:val="22"/>
          <w:lang w:val="en-US" w:eastAsia="zh-CN"/>
        </w:rPr>
        <w:t xml:space="preserve"> </w:t>
      </w:r>
      <w:r w:rsidR="000D61E5">
        <w:rPr>
          <w:bCs/>
          <w:sz w:val="22"/>
          <w:szCs w:val="22"/>
          <w:lang w:val="en-US" w:eastAsia="zh-CN"/>
        </w:rPr>
        <w:t>in their November meeting before drawing conclusion on the RRM impact</w:t>
      </w:r>
      <w:r w:rsidR="00A053B0" w:rsidRPr="00A053B0">
        <w:rPr>
          <w:bCs/>
          <w:sz w:val="22"/>
          <w:szCs w:val="22"/>
          <w:lang w:val="en-US" w:eastAsia="zh-CN"/>
        </w:rPr>
        <w:t>.</w:t>
      </w:r>
    </w:p>
    <w:p w14:paraId="4FD27D7A" w14:textId="19A61E34" w:rsidR="00ED4F29" w:rsidRPr="00082522" w:rsidRDefault="00ED4F29" w:rsidP="00082522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Impact of CLI for IAB</w:t>
      </w:r>
    </w:p>
    <w:p w14:paraId="011936FC" w14:textId="1F92CEE9" w:rsidR="00082522" w:rsidRPr="00186011" w:rsidRDefault="00082522" w:rsidP="00082522">
      <w:pPr>
        <w:spacing w:before="240"/>
        <w:rPr>
          <w:sz w:val="22"/>
          <w:szCs w:val="22"/>
          <w:lang w:val="en-US"/>
        </w:rPr>
      </w:pPr>
      <w:r w:rsidRPr="00186011">
        <w:rPr>
          <w:sz w:val="22"/>
          <w:szCs w:val="22"/>
          <w:lang w:val="en-US"/>
        </w:rPr>
        <w:t xml:space="preserve">The following related to </w:t>
      </w:r>
      <w:r>
        <w:rPr>
          <w:sz w:val="22"/>
          <w:szCs w:val="22"/>
          <w:lang w:val="en-US"/>
        </w:rPr>
        <w:t>CLI for IAB</w:t>
      </w:r>
      <w:r w:rsidRPr="00186011">
        <w:rPr>
          <w:sz w:val="22"/>
          <w:szCs w:val="22"/>
          <w:lang w:val="en-US"/>
        </w:rPr>
        <w:t xml:space="preserve"> was agreed in the last RAN4 WF [1]:</w:t>
      </w:r>
    </w:p>
    <w:p w14:paraId="423BB4A9" w14:textId="77777777" w:rsidR="00082522" w:rsidRPr="00082522" w:rsidRDefault="00082522" w:rsidP="00E60F48">
      <w:pPr>
        <w:overflowPunct w:val="0"/>
        <w:autoSpaceDE w:val="0"/>
        <w:autoSpaceDN w:val="0"/>
        <w:adjustRightInd w:val="0"/>
        <w:spacing w:before="120" w:line="259" w:lineRule="auto"/>
        <w:textAlignment w:val="baseline"/>
        <w:rPr>
          <w:bCs/>
          <w:sz w:val="22"/>
          <w:szCs w:val="22"/>
          <w:lang w:val="en-US" w:eastAsia="zh-CN"/>
        </w:rPr>
      </w:pPr>
    </w:p>
    <w:p w14:paraId="22D0A9A8" w14:textId="77777777" w:rsidR="00082522" w:rsidRPr="00082522" w:rsidRDefault="00082522" w:rsidP="00082522">
      <w:pPr>
        <w:pBdr>
          <w:top w:val="single" w:sz="4" w:space="1" w:color="auto"/>
          <w:bottom w:val="single" w:sz="4" w:space="1" w:color="auto"/>
        </w:pBdr>
        <w:spacing w:after="160" w:line="259" w:lineRule="auto"/>
        <w:rPr>
          <w:rFonts w:eastAsia="Calibri"/>
          <w:i/>
          <w:iCs/>
          <w:sz w:val="20"/>
          <w:szCs w:val="22"/>
          <w:lang w:val="en-US" w:eastAsia="zh-CN"/>
        </w:rPr>
      </w:pPr>
      <w:r w:rsidRPr="00082522">
        <w:rPr>
          <w:rFonts w:eastAsia="Calibri"/>
          <w:i/>
          <w:iCs/>
          <w:sz w:val="20"/>
          <w:szCs w:val="22"/>
          <w:lang w:val="en-US" w:eastAsia="zh-CN"/>
        </w:rPr>
        <w:t>The impact of CLI on RRM requirements can be assessed after CLI related agreements in RAN1/2.</w:t>
      </w:r>
    </w:p>
    <w:p w14:paraId="19A3250A" w14:textId="79C6FF0E" w:rsidR="00082522" w:rsidRPr="00082522" w:rsidRDefault="00651FE3" w:rsidP="00E60F48">
      <w:pPr>
        <w:overflowPunct w:val="0"/>
        <w:autoSpaceDE w:val="0"/>
        <w:autoSpaceDN w:val="0"/>
        <w:adjustRightInd w:val="0"/>
        <w:spacing w:before="120" w:line="259" w:lineRule="auto"/>
        <w:textAlignment w:val="baseline"/>
        <w:rPr>
          <w:bCs/>
          <w:sz w:val="22"/>
          <w:szCs w:val="22"/>
          <w:lang w:val="en-US" w:eastAsia="zh-CN"/>
        </w:rPr>
      </w:pPr>
      <w:r>
        <w:rPr>
          <w:bCs/>
          <w:sz w:val="22"/>
          <w:szCs w:val="22"/>
          <w:lang w:val="en-US" w:eastAsia="zh-CN"/>
        </w:rPr>
        <w:t xml:space="preserve">The RAN1 agreements related to the </w:t>
      </w:r>
      <w:r w:rsidRPr="00651FE3">
        <w:rPr>
          <w:bCs/>
          <w:sz w:val="22"/>
          <w:szCs w:val="22"/>
          <w:lang w:val="en-US" w:eastAsia="zh-CN"/>
        </w:rPr>
        <w:t xml:space="preserve">CLI </w:t>
      </w:r>
      <w:r>
        <w:rPr>
          <w:bCs/>
          <w:sz w:val="22"/>
          <w:szCs w:val="22"/>
          <w:lang w:val="en-US" w:eastAsia="zh-CN"/>
        </w:rPr>
        <w:t xml:space="preserve">framework </w:t>
      </w:r>
      <w:r w:rsidRPr="00651FE3">
        <w:rPr>
          <w:bCs/>
          <w:sz w:val="22"/>
          <w:szCs w:val="22"/>
          <w:lang w:val="en-US" w:eastAsia="zh-CN"/>
        </w:rPr>
        <w:t>for IAB</w:t>
      </w:r>
      <w:r>
        <w:rPr>
          <w:bCs/>
          <w:sz w:val="22"/>
          <w:szCs w:val="22"/>
          <w:lang w:val="en-US" w:eastAsia="zh-CN"/>
        </w:rPr>
        <w:t xml:space="preserve"> are shown below:</w:t>
      </w:r>
    </w:p>
    <w:p w14:paraId="61442396" w14:textId="32E860F3" w:rsidR="0026491B" w:rsidRPr="00ED4F29" w:rsidRDefault="0026491B" w:rsidP="00E60F48">
      <w:pPr>
        <w:overflowPunct w:val="0"/>
        <w:autoSpaceDE w:val="0"/>
        <w:autoSpaceDN w:val="0"/>
        <w:adjustRightInd w:val="0"/>
        <w:spacing w:before="120" w:line="259" w:lineRule="auto"/>
        <w:textAlignment w:val="baseline"/>
        <w:rPr>
          <w:bCs/>
          <w:sz w:val="22"/>
          <w:szCs w:val="22"/>
          <w:lang w:val="en-US" w:eastAsia="zh-CN"/>
        </w:rPr>
      </w:pPr>
    </w:p>
    <w:p w14:paraId="671B205B" w14:textId="77777777" w:rsidR="00ED4F29" w:rsidRPr="00651FE3" w:rsidRDefault="00ED4F29" w:rsidP="00651FE3">
      <w:pPr>
        <w:pStyle w:val="BodyText"/>
        <w:pBdr>
          <w:top w:val="single" w:sz="4" w:space="1" w:color="auto"/>
        </w:pBdr>
        <w:rPr>
          <w:b/>
          <w:bCs/>
          <w:i/>
          <w:iCs/>
          <w:sz w:val="18"/>
          <w:szCs w:val="18"/>
          <w:shd w:val="clear" w:color="auto" w:fill="00FF00"/>
          <w:lang w:val="en-US"/>
        </w:rPr>
      </w:pPr>
      <w:r w:rsidRPr="00651FE3">
        <w:rPr>
          <w:b/>
          <w:bCs/>
          <w:i/>
          <w:iCs/>
          <w:sz w:val="18"/>
          <w:szCs w:val="18"/>
          <w:shd w:val="clear" w:color="auto" w:fill="00FF00"/>
          <w:lang w:val="en-US"/>
        </w:rPr>
        <w:t>Agreement</w:t>
      </w:r>
      <w:r w:rsidRPr="00651FE3">
        <w:rPr>
          <w:b/>
          <w:bCs/>
          <w:i/>
          <w:iCs/>
          <w:sz w:val="18"/>
          <w:szCs w:val="18"/>
          <w:lang w:val="en-US"/>
        </w:rPr>
        <w:t xml:space="preserve"> </w:t>
      </w:r>
    </w:p>
    <w:p w14:paraId="16B526DE" w14:textId="77777777" w:rsidR="00ED4F29" w:rsidRPr="00ED4F29" w:rsidRDefault="00ED4F29" w:rsidP="00ED4F29">
      <w:pPr>
        <w:spacing w:after="59" w:line="249" w:lineRule="auto"/>
        <w:ind w:left="-5" w:right="9" w:hanging="10"/>
        <w:rPr>
          <w:i/>
          <w:iCs/>
          <w:color w:val="000000"/>
          <w:sz w:val="18"/>
          <w:szCs w:val="18"/>
          <w:lang w:val="en-US"/>
        </w:rPr>
      </w:pPr>
      <w:r w:rsidRPr="00ED4F29">
        <w:rPr>
          <w:i/>
          <w:iCs/>
          <w:color w:val="000000"/>
          <w:sz w:val="18"/>
          <w:szCs w:val="18"/>
          <w:lang w:val="en-US"/>
        </w:rPr>
        <w:t xml:space="preserve">Rel-16 CLI coordination </w:t>
      </w:r>
      <w:proofErr w:type="spellStart"/>
      <w:r w:rsidRPr="00ED4F29">
        <w:rPr>
          <w:i/>
          <w:iCs/>
          <w:color w:val="000000"/>
          <w:sz w:val="18"/>
          <w:szCs w:val="18"/>
          <w:lang w:val="en-US"/>
        </w:rPr>
        <w:t>signalling</w:t>
      </w:r>
      <w:proofErr w:type="spellEnd"/>
      <w:r w:rsidRPr="00ED4F29">
        <w:rPr>
          <w:i/>
          <w:iCs/>
          <w:color w:val="000000"/>
          <w:sz w:val="18"/>
          <w:szCs w:val="18"/>
          <w:lang w:val="en-US"/>
        </w:rPr>
        <w:t xml:space="preserve"> (Intended TDD DL-UL Configuration) is extended to support IAB specific UFD patterns. </w:t>
      </w:r>
    </w:p>
    <w:p w14:paraId="2E79035D" w14:textId="0F3894FA" w:rsidR="00ED4F29" w:rsidRPr="00651FE3" w:rsidRDefault="00ED4F29" w:rsidP="00651FE3">
      <w:pPr>
        <w:spacing w:after="5" w:line="249" w:lineRule="auto"/>
        <w:ind w:left="720" w:right="9" w:hanging="360"/>
        <w:rPr>
          <w:i/>
          <w:iCs/>
          <w:color w:val="000000"/>
          <w:sz w:val="18"/>
          <w:szCs w:val="18"/>
          <w:lang w:val="en-US"/>
        </w:rPr>
      </w:pPr>
      <w:r w:rsidRPr="00ED4F29">
        <w:rPr>
          <w:rFonts w:eastAsia="Segoe UI Symbol"/>
          <w:i/>
          <w:iCs/>
          <w:color w:val="000000"/>
          <w:sz w:val="18"/>
          <w:szCs w:val="18"/>
          <w:lang w:val="en-US"/>
        </w:rPr>
        <w:t>•</w:t>
      </w:r>
      <w:r w:rsidRPr="00ED4F29">
        <w:rPr>
          <w:rFonts w:eastAsia="Arial"/>
          <w:i/>
          <w:iCs/>
          <w:color w:val="000000"/>
          <w:sz w:val="18"/>
          <w:szCs w:val="18"/>
          <w:lang w:val="en-US"/>
        </w:rPr>
        <w:t xml:space="preserve"> </w:t>
      </w:r>
      <w:r w:rsidRPr="00ED4F29">
        <w:rPr>
          <w:rFonts w:eastAsia="Arial"/>
          <w:i/>
          <w:iCs/>
          <w:color w:val="000000"/>
          <w:sz w:val="18"/>
          <w:szCs w:val="18"/>
          <w:lang w:val="en-US"/>
        </w:rPr>
        <w:tab/>
      </w:r>
      <w:r w:rsidRPr="00ED4F29">
        <w:rPr>
          <w:i/>
          <w:iCs/>
          <w:color w:val="000000"/>
          <w:sz w:val="18"/>
          <w:szCs w:val="18"/>
          <w:lang w:val="en-US"/>
        </w:rPr>
        <w:t xml:space="preserve">FFS: Support the exchange of IAB-DU H/S/NA resource configuration information among </w:t>
      </w:r>
      <w:proofErr w:type="spellStart"/>
      <w:r w:rsidRPr="00ED4F29">
        <w:rPr>
          <w:i/>
          <w:iCs/>
          <w:color w:val="000000"/>
          <w:sz w:val="18"/>
          <w:szCs w:val="18"/>
          <w:lang w:val="en-US"/>
        </w:rPr>
        <w:t>neighbouring</w:t>
      </w:r>
      <w:proofErr w:type="spellEnd"/>
      <w:r w:rsidRPr="00ED4F29">
        <w:rPr>
          <w:i/>
          <w:iCs/>
          <w:color w:val="000000"/>
          <w:sz w:val="18"/>
          <w:szCs w:val="18"/>
          <w:lang w:val="en-US"/>
        </w:rPr>
        <w:t xml:space="preserve"> </w:t>
      </w:r>
      <w:proofErr w:type="spellStart"/>
      <w:r w:rsidRPr="00ED4F29">
        <w:rPr>
          <w:i/>
          <w:iCs/>
          <w:color w:val="000000"/>
          <w:sz w:val="18"/>
          <w:szCs w:val="18"/>
          <w:lang w:val="en-US"/>
        </w:rPr>
        <w:t>IABnodes</w:t>
      </w:r>
      <w:proofErr w:type="spellEnd"/>
      <w:r w:rsidRPr="00ED4F29">
        <w:rPr>
          <w:i/>
          <w:iCs/>
          <w:color w:val="000000"/>
          <w:sz w:val="18"/>
          <w:szCs w:val="18"/>
          <w:lang w:val="en-US"/>
        </w:rPr>
        <w:t xml:space="preserve">/IAB-donors for CLI management purposes. </w:t>
      </w:r>
    </w:p>
    <w:p w14:paraId="3095D114" w14:textId="2AE1F919" w:rsidR="00A87546" w:rsidRPr="00A87546" w:rsidRDefault="00ED4F29" w:rsidP="00651FE3">
      <w:pPr>
        <w:shd w:val="clear" w:color="auto" w:fill="FFFFFF"/>
        <w:spacing w:before="120"/>
        <w:rPr>
          <w:i/>
          <w:iCs/>
          <w:color w:val="242424"/>
          <w:sz w:val="18"/>
          <w:szCs w:val="18"/>
          <w:lang w:val="en-US"/>
        </w:rPr>
      </w:pPr>
      <w:r w:rsidRPr="00651FE3">
        <w:rPr>
          <w:b/>
          <w:bCs/>
          <w:i/>
          <w:iCs/>
          <w:color w:val="242424"/>
          <w:sz w:val="18"/>
          <w:szCs w:val="18"/>
          <w:shd w:val="clear" w:color="auto" w:fill="00FF00"/>
          <w:lang w:val="en-US"/>
        </w:rPr>
        <w:t>A</w:t>
      </w:r>
      <w:r w:rsidR="00A87546" w:rsidRPr="00A87546">
        <w:rPr>
          <w:b/>
          <w:bCs/>
          <w:i/>
          <w:iCs/>
          <w:color w:val="242424"/>
          <w:sz w:val="18"/>
          <w:szCs w:val="18"/>
          <w:shd w:val="clear" w:color="auto" w:fill="00FF00"/>
          <w:lang w:val="en-US"/>
        </w:rPr>
        <w:t>greement</w:t>
      </w:r>
    </w:p>
    <w:p w14:paraId="7E82AA74" w14:textId="77777777" w:rsidR="00A87546" w:rsidRPr="00A87546" w:rsidRDefault="00A87546" w:rsidP="00A87546">
      <w:pPr>
        <w:shd w:val="clear" w:color="auto" w:fill="FFFFFF"/>
        <w:rPr>
          <w:i/>
          <w:iCs/>
          <w:color w:val="242424"/>
          <w:sz w:val="18"/>
          <w:szCs w:val="18"/>
          <w:lang w:val="en-US"/>
        </w:rPr>
      </w:pPr>
      <w:r w:rsidRPr="00A87546">
        <w:rPr>
          <w:i/>
          <w:iCs/>
          <w:color w:val="242424"/>
          <w:sz w:val="18"/>
          <w:szCs w:val="18"/>
          <w:lang w:val="en-US"/>
        </w:rPr>
        <w:t>Use the Rel-16 interference management frameworks (e.g. CLI, RIM) to handle IAB interference scenarios, and discuss if any of the following enhancements are needed (not an exhaustive list):</w:t>
      </w:r>
    </w:p>
    <w:p w14:paraId="75D21B33" w14:textId="77777777" w:rsidR="00A87546" w:rsidRPr="00A87546" w:rsidRDefault="00A87546" w:rsidP="00A87546">
      <w:pPr>
        <w:numPr>
          <w:ilvl w:val="0"/>
          <w:numId w:val="40"/>
        </w:numPr>
        <w:shd w:val="clear" w:color="auto" w:fill="FFFFFF"/>
        <w:spacing w:before="100" w:beforeAutospacing="1" w:after="100" w:afterAutospacing="1"/>
        <w:ind w:left="840"/>
        <w:rPr>
          <w:i/>
          <w:iCs/>
          <w:color w:val="242424"/>
          <w:sz w:val="18"/>
          <w:szCs w:val="18"/>
          <w:lang w:val="en-US"/>
        </w:rPr>
      </w:pPr>
      <w:r w:rsidRPr="00A87546">
        <w:rPr>
          <w:i/>
          <w:iCs/>
          <w:color w:val="242424"/>
          <w:sz w:val="18"/>
          <w:szCs w:val="18"/>
          <w:lang w:val="en-US"/>
        </w:rPr>
        <w:t>FFS: extend the information exchange (e.g. the resource configuration, result of CLI measurements, etc.) among different entities (e.g. between parent-child nodes, adjacent IAB nodes, between network and IAB-node, etc.)  </w:t>
      </w:r>
    </w:p>
    <w:p w14:paraId="186A657F" w14:textId="77777777" w:rsidR="00A87546" w:rsidRPr="00A87546" w:rsidRDefault="00A87546" w:rsidP="00A87546">
      <w:pPr>
        <w:numPr>
          <w:ilvl w:val="0"/>
          <w:numId w:val="40"/>
        </w:numPr>
        <w:shd w:val="clear" w:color="auto" w:fill="FFFFFF"/>
        <w:spacing w:before="100" w:beforeAutospacing="1" w:after="100" w:afterAutospacing="1"/>
        <w:ind w:left="840"/>
        <w:rPr>
          <w:i/>
          <w:iCs/>
          <w:color w:val="242424"/>
          <w:sz w:val="18"/>
          <w:szCs w:val="18"/>
          <w:lang w:val="en-US"/>
        </w:rPr>
      </w:pPr>
      <w:r w:rsidRPr="00A87546">
        <w:rPr>
          <w:i/>
          <w:iCs/>
          <w:color w:val="242424"/>
          <w:sz w:val="18"/>
          <w:szCs w:val="18"/>
          <w:lang w:val="en-US"/>
        </w:rPr>
        <w:lastRenderedPageBreak/>
        <w:t>FFS: required enhancements on CLI measurement accuracy (e.g. via timing adjustment, etc.)</w:t>
      </w:r>
    </w:p>
    <w:p w14:paraId="00DCD51D" w14:textId="4D09AC4E" w:rsidR="0026491B" w:rsidRPr="00651FE3" w:rsidRDefault="00A87546" w:rsidP="00651FE3">
      <w:pPr>
        <w:numPr>
          <w:ilvl w:val="0"/>
          <w:numId w:val="40"/>
        </w:numPr>
        <w:shd w:val="clear" w:color="auto" w:fill="FFFFFF"/>
        <w:spacing w:before="100" w:beforeAutospacing="1" w:after="100" w:afterAutospacing="1"/>
        <w:ind w:left="840"/>
        <w:rPr>
          <w:i/>
          <w:iCs/>
          <w:color w:val="242424"/>
          <w:sz w:val="18"/>
          <w:szCs w:val="18"/>
          <w:lang w:val="en-US"/>
        </w:rPr>
      </w:pPr>
      <w:r w:rsidRPr="00A87546">
        <w:rPr>
          <w:i/>
          <w:iCs/>
          <w:color w:val="242424"/>
          <w:sz w:val="18"/>
          <w:szCs w:val="18"/>
          <w:lang w:val="en-US"/>
        </w:rPr>
        <w:t>FFS: required enhancements on CLI measurements (e.g. introducing short-term measurements, multi-beam measurements, etc.)</w:t>
      </w:r>
    </w:p>
    <w:p w14:paraId="114CE78E" w14:textId="77777777" w:rsidR="008854EA" w:rsidRPr="00651FE3" w:rsidRDefault="008854EA" w:rsidP="00651FE3">
      <w:pPr>
        <w:pStyle w:val="BodyText"/>
        <w:rPr>
          <w:b/>
          <w:bCs/>
          <w:i/>
          <w:iCs/>
          <w:sz w:val="18"/>
          <w:szCs w:val="18"/>
          <w:shd w:val="clear" w:color="auto" w:fill="00FF00"/>
          <w:lang w:val="en-US"/>
        </w:rPr>
      </w:pPr>
      <w:r w:rsidRPr="00651FE3">
        <w:rPr>
          <w:b/>
          <w:bCs/>
          <w:i/>
          <w:iCs/>
          <w:sz w:val="18"/>
          <w:szCs w:val="18"/>
          <w:shd w:val="clear" w:color="auto" w:fill="00FF00"/>
          <w:lang w:val="en-US"/>
        </w:rPr>
        <w:t>Agreement</w:t>
      </w:r>
      <w:r w:rsidRPr="00651FE3">
        <w:rPr>
          <w:b/>
          <w:bCs/>
          <w:i/>
          <w:iCs/>
          <w:sz w:val="18"/>
          <w:szCs w:val="18"/>
          <w:lang w:val="en-US"/>
        </w:rPr>
        <w:t xml:space="preserve"> </w:t>
      </w:r>
    </w:p>
    <w:p w14:paraId="4E5BE443" w14:textId="77777777" w:rsidR="008854EA" w:rsidRPr="008854EA" w:rsidRDefault="008854EA" w:rsidP="008854EA">
      <w:pPr>
        <w:spacing w:after="56" w:line="249" w:lineRule="auto"/>
        <w:ind w:left="-5" w:right="9" w:hanging="10"/>
        <w:rPr>
          <w:i/>
          <w:iCs/>
          <w:color w:val="000000"/>
          <w:sz w:val="18"/>
          <w:szCs w:val="18"/>
          <w:lang w:val="en-US"/>
        </w:rPr>
      </w:pPr>
      <w:r w:rsidRPr="008854EA">
        <w:rPr>
          <w:i/>
          <w:iCs/>
          <w:color w:val="000000"/>
          <w:sz w:val="18"/>
          <w:szCs w:val="18"/>
          <w:lang w:val="en-US"/>
        </w:rPr>
        <w:t xml:space="preserve">For the support of DU-to-DU measurement and report: </w:t>
      </w:r>
    </w:p>
    <w:p w14:paraId="3650C897" w14:textId="77777777" w:rsidR="008854EA" w:rsidRPr="008854EA" w:rsidRDefault="008854EA" w:rsidP="008854EA">
      <w:pPr>
        <w:numPr>
          <w:ilvl w:val="0"/>
          <w:numId w:val="39"/>
        </w:numPr>
        <w:spacing w:after="55" w:line="249" w:lineRule="auto"/>
        <w:ind w:right="549"/>
        <w:rPr>
          <w:i/>
          <w:iCs/>
          <w:color w:val="000000"/>
          <w:sz w:val="18"/>
          <w:szCs w:val="18"/>
          <w:lang w:val="en-US"/>
        </w:rPr>
      </w:pPr>
      <w:r w:rsidRPr="008854EA">
        <w:rPr>
          <w:i/>
          <w:iCs/>
          <w:color w:val="000000"/>
          <w:sz w:val="18"/>
          <w:szCs w:val="18"/>
          <w:lang w:val="en-US"/>
        </w:rPr>
        <w:t xml:space="preserve">For DU-to-DU CLI measurement: </w:t>
      </w:r>
      <w:r w:rsidRPr="008854EA">
        <w:rPr>
          <w:rFonts w:eastAsia="Courier New"/>
          <w:i/>
          <w:iCs/>
          <w:color w:val="000000"/>
          <w:sz w:val="18"/>
          <w:szCs w:val="18"/>
          <w:lang w:val="en-US"/>
        </w:rPr>
        <w:t>o</w:t>
      </w:r>
      <w:r w:rsidRPr="008854EA">
        <w:rPr>
          <w:rFonts w:eastAsia="Arial"/>
          <w:i/>
          <w:iCs/>
          <w:color w:val="000000"/>
          <w:sz w:val="18"/>
          <w:szCs w:val="18"/>
          <w:lang w:val="en-US"/>
        </w:rPr>
        <w:t xml:space="preserve"> </w:t>
      </w:r>
      <w:r w:rsidRPr="008854EA">
        <w:rPr>
          <w:rFonts w:eastAsia="Arial"/>
          <w:i/>
          <w:iCs/>
          <w:color w:val="000000"/>
          <w:sz w:val="18"/>
          <w:szCs w:val="18"/>
          <w:lang w:val="en-US"/>
        </w:rPr>
        <w:tab/>
      </w:r>
      <w:r w:rsidRPr="008854EA">
        <w:rPr>
          <w:i/>
          <w:iCs/>
          <w:color w:val="000000"/>
          <w:sz w:val="18"/>
          <w:szCs w:val="18"/>
          <w:lang w:val="en-US"/>
        </w:rPr>
        <w:t xml:space="preserve">Option 1.1. no specific mechanism is specified (e.g., it is handled by the implementation, or the available techniques) </w:t>
      </w:r>
    </w:p>
    <w:p w14:paraId="542C120F" w14:textId="77777777" w:rsidR="008854EA" w:rsidRPr="008854EA" w:rsidRDefault="008854EA" w:rsidP="00651FE3">
      <w:pPr>
        <w:numPr>
          <w:ilvl w:val="0"/>
          <w:numId w:val="39"/>
        </w:numPr>
        <w:pBdr>
          <w:bottom w:val="single" w:sz="4" w:space="1" w:color="auto"/>
        </w:pBdr>
        <w:spacing w:after="5" w:line="249" w:lineRule="auto"/>
        <w:ind w:right="549"/>
        <w:rPr>
          <w:i/>
          <w:iCs/>
          <w:color w:val="000000"/>
          <w:sz w:val="18"/>
          <w:szCs w:val="18"/>
          <w:lang w:val="en-US"/>
        </w:rPr>
      </w:pPr>
      <w:r w:rsidRPr="008854EA">
        <w:rPr>
          <w:i/>
          <w:iCs/>
          <w:color w:val="000000"/>
          <w:sz w:val="18"/>
          <w:szCs w:val="18"/>
          <w:lang w:val="en-US"/>
        </w:rPr>
        <w:t xml:space="preserve">For DU-to-DU CLI report: </w:t>
      </w:r>
      <w:r w:rsidRPr="008854EA">
        <w:rPr>
          <w:rFonts w:eastAsia="Courier New"/>
          <w:i/>
          <w:iCs/>
          <w:color w:val="000000"/>
          <w:sz w:val="18"/>
          <w:szCs w:val="18"/>
          <w:lang w:val="en-US"/>
        </w:rPr>
        <w:t>o</w:t>
      </w:r>
      <w:r w:rsidRPr="008854EA">
        <w:rPr>
          <w:rFonts w:eastAsia="Arial"/>
          <w:i/>
          <w:iCs/>
          <w:color w:val="000000"/>
          <w:sz w:val="18"/>
          <w:szCs w:val="18"/>
          <w:lang w:val="en-US"/>
        </w:rPr>
        <w:t xml:space="preserve"> </w:t>
      </w:r>
      <w:r w:rsidRPr="008854EA">
        <w:rPr>
          <w:rFonts w:eastAsia="Arial"/>
          <w:i/>
          <w:iCs/>
          <w:color w:val="000000"/>
          <w:sz w:val="18"/>
          <w:szCs w:val="18"/>
          <w:lang w:val="en-US"/>
        </w:rPr>
        <w:tab/>
      </w:r>
      <w:r w:rsidRPr="008854EA">
        <w:rPr>
          <w:i/>
          <w:iCs/>
          <w:color w:val="000000"/>
          <w:sz w:val="18"/>
          <w:szCs w:val="18"/>
          <w:lang w:val="en-US"/>
        </w:rPr>
        <w:t xml:space="preserve">Option 2.1. no specific mechanism is specified (e.g., it is handled by the implementation, or the available techniques) </w:t>
      </w:r>
    </w:p>
    <w:p w14:paraId="39BDB50C" w14:textId="77777777" w:rsidR="008854EA" w:rsidRPr="008854EA" w:rsidRDefault="008854EA" w:rsidP="008854EA">
      <w:pPr>
        <w:spacing w:line="259" w:lineRule="auto"/>
        <w:rPr>
          <w:color w:val="000000"/>
          <w:szCs w:val="22"/>
          <w:lang w:val="en-US"/>
        </w:rPr>
      </w:pPr>
      <w:r w:rsidRPr="008854EA">
        <w:rPr>
          <w:color w:val="000000"/>
          <w:szCs w:val="22"/>
          <w:lang w:val="en-US"/>
        </w:rPr>
        <w:t xml:space="preserve"> </w:t>
      </w:r>
    </w:p>
    <w:p w14:paraId="638605D5" w14:textId="4248AD7B" w:rsidR="008854EA" w:rsidRPr="00651FE3" w:rsidRDefault="00651FE3" w:rsidP="00E60F48">
      <w:pPr>
        <w:overflowPunct w:val="0"/>
        <w:autoSpaceDE w:val="0"/>
        <w:autoSpaceDN w:val="0"/>
        <w:adjustRightInd w:val="0"/>
        <w:spacing w:before="120" w:line="259" w:lineRule="auto"/>
        <w:textAlignment w:val="baseline"/>
        <w:rPr>
          <w:bCs/>
          <w:sz w:val="22"/>
          <w:szCs w:val="22"/>
          <w:lang w:val="en-US" w:eastAsia="zh-CN"/>
        </w:rPr>
      </w:pPr>
      <w:r>
        <w:rPr>
          <w:bCs/>
          <w:sz w:val="22"/>
          <w:szCs w:val="22"/>
          <w:lang w:val="en-US" w:eastAsia="zh-CN"/>
        </w:rPr>
        <w:t xml:space="preserve">Based on the </w:t>
      </w:r>
      <w:r w:rsidRPr="00651FE3">
        <w:rPr>
          <w:bCs/>
          <w:sz w:val="22"/>
          <w:szCs w:val="22"/>
          <w:lang w:val="en-US" w:eastAsia="zh-CN"/>
        </w:rPr>
        <w:t>RAN1 agreements</w:t>
      </w:r>
      <w:r>
        <w:rPr>
          <w:bCs/>
          <w:sz w:val="22"/>
          <w:szCs w:val="22"/>
          <w:lang w:val="en-US" w:eastAsia="zh-CN"/>
        </w:rPr>
        <w:t>, firstly the CLI framework for IAB is based on existing Rel-16 CLI solutions for UE</w:t>
      </w:r>
      <w:r w:rsidR="00037A39">
        <w:rPr>
          <w:bCs/>
          <w:sz w:val="22"/>
          <w:szCs w:val="22"/>
          <w:lang w:val="en-US" w:eastAsia="zh-CN"/>
        </w:rPr>
        <w:t xml:space="preserve">. RAN4 has defined </w:t>
      </w:r>
      <w:r w:rsidR="00007A74">
        <w:rPr>
          <w:bCs/>
          <w:sz w:val="22"/>
          <w:szCs w:val="22"/>
          <w:lang w:val="en-US" w:eastAsia="zh-CN"/>
        </w:rPr>
        <w:t xml:space="preserve">RRM requirements for </w:t>
      </w:r>
      <w:r w:rsidR="0060385C">
        <w:rPr>
          <w:bCs/>
          <w:sz w:val="22"/>
          <w:szCs w:val="22"/>
          <w:lang w:val="en-US" w:eastAsia="zh-CN"/>
        </w:rPr>
        <w:t xml:space="preserve">UE </w:t>
      </w:r>
      <w:r w:rsidR="00007A74">
        <w:rPr>
          <w:bCs/>
          <w:sz w:val="22"/>
          <w:szCs w:val="22"/>
          <w:lang w:val="en-US" w:eastAsia="zh-CN"/>
        </w:rPr>
        <w:t xml:space="preserve">CLI </w:t>
      </w:r>
      <w:r w:rsidR="001F183A">
        <w:rPr>
          <w:bCs/>
          <w:sz w:val="22"/>
          <w:szCs w:val="22"/>
          <w:lang w:val="en-US" w:eastAsia="zh-CN"/>
        </w:rPr>
        <w:t>measurements (</w:t>
      </w:r>
      <w:r w:rsidR="0060385C">
        <w:rPr>
          <w:bCs/>
          <w:sz w:val="22"/>
          <w:szCs w:val="22"/>
          <w:lang w:val="en-US" w:eastAsia="zh-CN"/>
        </w:rPr>
        <w:t xml:space="preserve">SRS-RSRP and RSSI). However, for IAB RAN4 has concluded in Rel-16 not to specify measurement requirements for IAB-MT related measurements. </w:t>
      </w:r>
      <w:r w:rsidR="004C4505">
        <w:rPr>
          <w:bCs/>
          <w:sz w:val="22"/>
          <w:szCs w:val="22"/>
          <w:lang w:val="en-US" w:eastAsia="zh-CN"/>
        </w:rPr>
        <w:t xml:space="preserve">The main reason is </w:t>
      </w:r>
      <w:r w:rsidR="004B6C53">
        <w:rPr>
          <w:bCs/>
          <w:sz w:val="22"/>
          <w:szCs w:val="22"/>
          <w:lang w:val="en-US" w:eastAsia="zh-CN"/>
        </w:rPr>
        <w:t xml:space="preserve">enable sufficient </w:t>
      </w:r>
      <w:r w:rsidR="004C4505">
        <w:rPr>
          <w:bCs/>
          <w:sz w:val="22"/>
          <w:szCs w:val="22"/>
          <w:lang w:val="en-US" w:eastAsia="zh-CN"/>
        </w:rPr>
        <w:t>IAB implementation</w:t>
      </w:r>
      <w:r w:rsidR="004B6C53">
        <w:rPr>
          <w:bCs/>
          <w:sz w:val="22"/>
          <w:szCs w:val="22"/>
          <w:lang w:val="en-US" w:eastAsia="zh-CN"/>
        </w:rPr>
        <w:t xml:space="preserve"> flexibility</w:t>
      </w:r>
      <w:r w:rsidR="004C4505">
        <w:rPr>
          <w:bCs/>
          <w:sz w:val="22"/>
          <w:szCs w:val="22"/>
          <w:lang w:val="en-US" w:eastAsia="zh-CN"/>
        </w:rPr>
        <w:t xml:space="preserve">. </w:t>
      </w:r>
      <w:r w:rsidR="0060385C">
        <w:rPr>
          <w:bCs/>
          <w:sz w:val="22"/>
          <w:szCs w:val="22"/>
          <w:lang w:val="en-US" w:eastAsia="zh-CN"/>
        </w:rPr>
        <w:t>In our view the same conclusion should apply for CLI based measurements for IAB-MT.</w:t>
      </w: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23F132DC" w14:textId="07DA919D" w:rsidR="001C1D0D" w:rsidRPr="00D83109" w:rsidRDefault="00D53884" w:rsidP="003C4CA3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/>
        </w:rPr>
      </w:pPr>
      <w:r w:rsidRPr="00AD4DAC">
        <w:rPr>
          <w:sz w:val="22"/>
          <w:szCs w:val="22"/>
          <w:lang w:val="en-US"/>
        </w:rPr>
        <w:t>The following are the observations and proposals based on the analysis provided in this paper</w:t>
      </w:r>
      <w:r w:rsidR="001C1D0D" w:rsidRPr="00D83109">
        <w:rPr>
          <w:sz w:val="22"/>
          <w:szCs w:val="22"/>
          <w:lang w:val="en-US"/>
        </w:rPr>
        <w:t>:</w:t>
      </w:r>
    </w:p>
    <w:p w14:paraId="47D598DE" w14:textId="558469EB" w:rsidR="00DE6850" w:rsidRPr="00171316" w:rsidRDefault="00DE6850" w:rsidP="00DE6850">
      <w:pPr>
        <w:overflowPunct w:val="0"/>
        <w:autoSpaceDE w:val="0"/>
        <w:autoSpaceDN w:val="0"/>
        <w:adjustRightInd w:val="0"/>
        <w:spacing w:before="240"/>
        <w:textAlignment w:val="baseline"/>
        <w:rPr>
          <w:b/>
          <w:bCs/>
          <w:sz w:val="20"/>
          <w:szCs w:val="20"/>
          <w:u w:val="single"/>
        </w:rPr>
      </w:pPr>
      <w:r w:rsidRPr="00171316">
        <w:rPr>
          <w:b/>
          <w:bCs/>
          <w:sz w:val="20"/>
          <w:szCs w:val="20"/>
          <w:u w:val="single"/>
        </w:rPr>
        <w:t>Simultaneous IAB operation:</w:t>
      </w:r>
    </w:p>
    <w:p w14:paraId="4036EF1A" w14:textId="3005D9B5" w:rsidR="00970431" w:rsidRPr="00171316" w:rsidRDefault="00D53884" w:rsidP="00B5701F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171316">
        <w:rPr>
          <w:rFonts w:ascii="Times New Roman" w:hAnsi="Times New Roman"/>
          <w:b/>
          <w:bCs/>
          <w:sz w:val="20"/>
          <w:szCs w:val="20"/>
        </w:rPr>
        <w:t>Observation 1</w:t>
      </w:r>
      <w:r w:rsidR="00164909" w:rsidRPr="00171316">
        <w:rPr>
          <w:rFonts w:ascii="Times New Roman" w:hAnsi="Times New Roman"/>
          <w:sz w:val="20"/>
          <w:szCs w:val="20"/>
        </w:rPr>
        <w:t xml:space="preserve">: </w:t>
      </w:r>
      <w:r w:rsidR="0060385C" w:rsidRPr="00171316">
        <w:rPr>
          <w:rFonts w:ascii="Times New Roman" w:hAnsi="Times New Roman"/>
          <w:sz w:val="20"/>
          <w:szCs w:val="20"/>
        </w:rPr>
        <w:t>No further inp</w:t>
      </w:r>
      <w:r w:rsidR="00AE1B70" w:rsidRPr="00171316">
        <w:rPr>
          <w:rFonts w:ascii="Times New Roman" w:hAnsi="Times New Roman"/>
          <w:sz w:val="20"/>
          <w:szCs w:val="20"/>
        </w:rPr>
        <w:t>ut received on s</w:t>
      </w:r>
      <w:r w:rsidR="00164909" w:rsidRPr="00171316">
        <w:rPr>
          <w:rFonts w:ascii="Times New Roman" w:hAnsi="Times New Roman"/>
          <w:sz w:val="20"/>
          <w:szCs w:val="20"/>
        </w:rPr>
        <w:t xml:space="preserve">imultaneous operation between </w:t>
      </w:r>
      <w:r w:rsidR="00BD44F9" w:rsidRPr="00171316">
        <w:rPr>
          <w:rFonts w:ascii="Times New Roman" w:hAnsi="Times New Roman"/>
          <w:sz w:val="20"/>
          <w:szCs w:val="20"/>
        </w:rPr>
        <w:t xml:space="preserve">IAB-MT TX and DU RX or </w:t>
      </w:r>
      <w:r w:rsidR="00AD4DAC" w:rsidRPr="00171316">
        <w:rPr>
          <w:rFonts w:ascii="Times New Roman" w:hAnsi="Times New Roman"/>
          <w:sz w:val="20"/>
          <w:szCs w:val="20"/>
        </w:rPr>
        <w:t xml:space="preserve">between </w:t>
      </w:r>
      <w:r w:rsidR="00BD44F9" w:rsidRPr="00171316">
        <w:rPr>
          <w:rFonts w:ascii="Times New Roman" w:hAnsi="Times New Roman"/>
          <w:sz w:val="20"/>
          <w:szCs w:val="20"/>
        </w:rPr>
        <w:t>IAB-MT RX and DU TX</w:t>
      </w:r>
      <w:r w:rsidR="00AD4DAC" w:rsidRPr="00171316">
        <w:rPr>
          <w:rFonts w:ascii="Times New Roman" w:hAnsi="Times New Roman"/>
          <w:sz w:val="20"/>
          <w:szCs w:val="20"/>
        </w:rPr>
        <w:t xml:space="preserve"> </w:t>
      </w:r>
      <w:r w:rsidR="00AE1B70" w:rsidRPr="00171316">
        <w:rPr>
          <w:rFonts w:ascii="Times New Roman" w:hAnsi="Times New Roman"/>
          <w:sz w:val="20"/>
          <w:szCs w:val="20"/>
        </w:rPr>
        <w:t>that would impact RRM</w:t>
      </w:r>
      <w:r w:rsidR="00AC65D8" w:rsidRPr="00171316">
        <w:rPr>
          <w:rFonts w:ascii="Times New Roman" w:hAnsi="Times New Roman"/>
          <w:sz w:val="20"/>
          <w:szCs w:val="20"/>
        </w:rPr>
        <w:t>.</w:t>
      </w:r>
    </w:p>
    <w:p w14:paraId="2D3E9843" w14:textId="21505229" w:rsidR="00767EE4" w:rsidRPr="00171316" w:rsidRDefault="004376EF" w:rsidP="00B5701F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171316">
        <w:rPr>
          <w:rFonts w:ascii="Times New Roman" w:hAnsi="Times New Roman"/>
          <w:b/>
          <w:bCs/>
          <w:sz w:val="20"/>
          <w:szCs w:val="20"/>
        </w:rPr>
        <w:t>Proposal #</w:t>
      </w:r>
      <w:r w:rsidR="00767EE4" w:rsidRPr="00171316">
        <w:rPr>
          <w:rFonts w:ascii="Times New Roman" w:hAnsi="Times New Roman"/>
          <w:b/>
          <w:bCs/>
          <w:sz w:val="20"/>
          <w:szCs w:val="20"/>
        </w:rPr>
        <w:t>1</w:t>
      </w:r>
      <w:r w:rsidRPr="00171316">
        <w:rPr>
          <w:rFonts w:ascii="Times New Roman" w:hAnsi="Times New Roman"/>
          <w:sz w:val="20"/>
          <w:szCs w:val="20"/>
        </w:rPr>
        <w:t>:</w:t>
      </w:r>
      <w:r w:rsidR="00767EE4" w:rsidRPr="00171316">
        <w:rPr>
          <w:rFonts w:ascii="Times New Roman" w:hAnsi="Times New Roman"/>
          <w:sz w:val="20"/>
          <w:szCs w:val="20"/>
        </w:rPr>
        <w:t xml:space="preserve"> </w:t>
      </w:r>
      <w:r w:rsidR="004F223A" w:rsidRPr="00171316">
        <w:rPr>
          <w:rFonts w:ascii="Times New Roman" w:hAnsi="Times New Roman"/>
          <w:sz w:val="20"/>
          <w:szCs w:val="20"/>
        </w:rPr>
        <w:t>No further RRM impact for IAB-MT or DU due to s</w:t>
      </w:r>
      <w:r w:rsidR="002F4FE7" w:rsidRPr="00171316">
        <w:rPr>
          <w:rFonts w:ascii="Times New Roman" w:hAnsi="Times New Roman"/>
          <w:sz w:val="20"/>
          <w:szCs w:val="20"/>
        </w:rPr>
        <w:t xml:space="preserve">imultaneous operation between IAB-MT TX and DU RX or between IAB-MT RX and DU TX </w:t>
      </w:r>
      <w:r w:rsidR="004F223A" w:rsidRPr="00171316">
        <w:rPr>
          <w:rFonts w:ascii="Times New Roman" w:hAnsi="Times New Roman"/>
          <w:sz w:val="20"/>
          <w:szCs w:val="20"/>
        </w:rPr>
        <w:t>is identified</w:t>
      </w:r>
      <w:r w:rsidR="004B161A" w:rsidRPr="00171316">
        <w:rPr>
          <w:rFonts w:ascii="Times New Roman" w:hAnsi="Times New Roman"/>
          <w:sz w:val="20"/>
          <w:szCs w:val="20"/>
        </w:rPr>
        <w:t xml:space="preserve">. </w:t>
      </w:r>
    </w:p>
    <w:p w14:paraId="57C76E37" w14:textId="7F75C0B4" w:rsidR="00DE6850" w:rsidRPr="00171316" w:rsidRDefault="00DE6850" w:rsidP="00DE6850">
      <w:pPr>
        <w:overflowPunct w:val="0"/>
        <w:autoSpaceDE w:val="0"/>
        <w:autoSpaceDN w:val="0"/>
        <w:adjustRightInd w:val="0"/>
        <w:spacing w:before="240"/>
        <w:textAlignment w:val="baseline"/>
        <w:rPr>
          <w:b/>
          <w:bCs/>
          <w:sz w:val="20"/>
          <w:szCs w:val="20"/>
          <w:u w:val="single"/>
        </w:rPr>
      </w:pPr>
      <w:r w:rsidRPr="00171316">
        <w:rPr>
          <w:b/>
          <w:bCs/>
          <w:sz w:val="20"/>
          <w:szCs w:val="20"/>
          <w:u w:val="single"/>
        </w:rPr>
        <w:t>Case # 6 timing:</w:t>
      </w:r>
    </w:p>
    <w:p w14:paraId="127B70C5" w14:textId="0F22D3A9" w:rsidR="006576A9" w:rsidRPr="00171316" w:rsidRDefault="0051325E" w:rsidP="0051325E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171316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 w:rsidR="00F9614C" w:rsidRPr="00171316">
        <w:rPr>
          <w:rFonts w:ascii="Times New Roman" w:hAnsi="Times New Roman"/>
          <w:b/>
          <w:bCs/>
          <w:sz w:val="20"/>
          <w:szCs w:val="20"/>
        </w:rPr>
        <w:t>2</w:t>
      </w:r>
      <w:r w:rsidRPr="00171316">
        <w:rPr>
          <w:rFonts w:ascii="Times New Roman" w:hAnsi="Times New Roman"/>
          <w:sz w:val="20"/>
          <w:szCs w:val="20"/>
        </w:rPr>
        <w:t xml:space="preserve">: </w:t>
      </w:r>
      <w:r w:rsidR="00C904E4" w:rsidRPr="00171316">
        <w:rPr>
          <w:rFonts w:ascii="Times New Roman" w:hAnsi="Times New Roman"/>
          <w:sz w:val="20"/>
          <w:szCs w:val="20"/>
        </w:rPr>
        <w:t>Case # 6 timing configuration is related to the simultaneous transmission by IAB-MT and IAB-DU transmitters in the same IAB node with different implementation</w:t>
      </w:r>
      <w:r w:rsidR="006576A9" w:rsidRPr="00171316">
        <w:rPr>
          <w:rFonts w:ascii="Times New Roman" w:hAnsi="Times New Roman"/>
          <w:sz w:val="20"/>
          <w:szCs w:val="20"/>
        </w:rPr>
        <w:t>.</w:t>
      </w:r>
    </w:p>
    <w:p w14:paraId="4A9DEE93" w14:textId="227C9CE4" w:rsidR="0051325E" w:rsidRPr="00171316" w:rsidRDefault="006576A9" w:rsidP="0051325E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171316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 w:rsidR="00F9614C" w:rsidRPr="00171316">
        <w:rPr>
          <w:rFonts w:ascii="Times New Roman" w:hAnsi="Times New Roman"/>
          <w:b/>
          <w:bCs/>
          <w:sz w:val="20"/>
          <w:szCs w:val="20"/>
        </w:rPr>
        <w:t>3</w:t>
      </w:r>
      <w:r w:rsidRPr="00171316">
        <w:rPr>
          <w:rFonts w:ascii="Times New Roman" w:hAnsi="Times New Roman"/>
          <w:sz w:val="20"/>
          <w:szCs w:val="20"/>
        </w:rPr>
        <w:t xml:space="preserve">: </w:t>
      </w:r>
      <w:r w:rsidR="00F9614C" w:rsidRPr="00171316">
        <w:rPr>
          <w:rFonts w:ascii="Times New Roman" w:hAnsi="Times New Roman"/>
          <w:sz w:val="20"/>
          <w:szCs w:val="20"/>
        </w:rPr>
        <w:t xml:space="preserve">According to RAN1 agreement for Case 6 timing, the OTA timing synchronization is achieved by setting the IAB-MT transmit timing to the IAB-DU downlink timing e.g. by </w:t>
      </w:r>
      <w:proofErr w:type="spellStart"/>
      <w:r w:rsidR="00F9614C" w:rsidRPr="00171316">
        <w:rPr>
          <w:rFonts w:ascii="Times New Roman" w:hAnsi="Times New Roman"/>
          <w:sz w:val="20"/>
          <w:szCs w:val="20"/>
        </w:rPr>
        <w:t>T_delta</w:t>
      </w:r>
      <w:proofErr w:type="spellEnd"/>
      <w:r w:rsidR="00F9614C" w:rsidRPr="00171316">
        <w:rPr>
          <w:rFonts w:ascii="Times New Roman" w:hAnsi="Times New Roman"/>
          <w:sz w:val="20"/>
          <w:szCs w:val="20"/>
        </w:rPr>
        <w:t xml:space="preserve"> signaling</w:t>
      </w:r>
      <w:r w:rsidRPr="00171316">
        <w:rPr>
          <w:rFonts w:ascii="Times New Roman" w:hAnsi="Times New Roman"/>
          <w:sz w:val="20"/>
          <w:szCs w:val="20"/>
        </w:rPr>
        <w:t>.</w:t>
      </w:r>
    </w:p>
    <w:p w14:paraId="27D66135" w14:textId="78D6C3FA" w:rsidR="0051325E" w:rsidRPr="00171316" w:rsidRDefault="0051325E" w:rsidP="0051325E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171316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 w:rsidR="00171316" w:rsidRPr="00171316">
        <w:rPr>
          <w:rFonts w:ascii="Times New Roman" w:hAnsi="Times New Roman"/>
          <w:b/>
          <w:bCs/>
          <w:sz w:val="20"/>
          <w:szCs w:val="20"/>
        </w:rPr>
        <w:t>4</w:t>
      </w:r>
      <w:r w:rsidRPr="00171316">
        <w:rPr>
          <w:rFonts w:ascii="Times New Roman" w:hAnsi="Times New Roman"/>
          <w:sz w:val="20"/>
          <w:szCs w:val="20"/>
        </w:rPr>
        <w:t xml:space="preserve">: </w:t>
      </w:r>
      <w:r w:rsidR="00171316" w:rsidRPr="00171316">
        <w:rPr>
          <w:rFonts w:ascii="Times New Roman" w:hAnsi="Times New Roman"/>
          <w:sz w:val="20"/>
          <w:szCs w:val="20"/>
        </w:rPr>
        <w:t xml:space="preserve">According to RAN1 agreement for Case 6 timing, either existing Rel-16 </w:t>
      </w:r>
      <w:proofErr w:type="spellStart"/>
      <w:r w:rsidR="00171316" w:rsidRPr="00171316">
        <w:rPr>
          <w:rFonts w:ascii="Times New Roman" w:hAnsi="Times New Roman"/>
          <w:sz w:val="20"/>
          <w:szCs w:val="20"/>
        </w:rPr>
        <w:t>T_delta</w:t>
      </w:r>
      <w:proofErr w:type="spellEnd"/>
      <w:r w:rsidR="00171316" w:rsidRPr="00171316">
        <w:rPr>
          <w:rFonts w:ascii="Times New Roman" w:hAnsi="Times New Roman"/>
          <w:sz w:val="20"/>
          <w:szCs w:val="20"/>
        </w:rPr>
        <w:t xml:space="preserve"> signaling will be used or </w:t>
      </w:r>
      <w:proofErr w:type="spellStart"/>
      <w:r w:rsidR="00171316" w:rsidRPr="00171316">
        <w:rPr>
          <w:rFonts w:ascii="Times New Roman" w:hAnsi="Times New Roman"/>
          <w:sz w:val="20"/>
          <w:szCs w:val="20"/>
        </w:rPr>
        <w:t>T_delta</w:t>
      </w:r>
      <w:proofErr w:type="spellEnd"/>
      <w:r w:rsidR="00171316" w:rsidRPr="00171316">
        <w:rPr>
          <w:rFonts w:ascii="Times New Roman" w:hAnsi="Times New Roman"/>
          <w:sz w:val="20"/>
          <w:szCs w:val="20"/>
        </w:rPr>
        <w:t xml:space="preserve"> range may be extended</w:t>
      </w:r>
      <w:r w:rsidR="009B6CE8" w:rsidRPr="00171316">
        <w:rPr>
          <w:rFonts w:ascii="Times New Roman" w:hAnsi="Times New Roman"/>
          <w:sz w:val="20"/>
          <w:szCs w:val="20"/>
        </w:rPr>
        <w:t>.</w:t>
      </w:r>
    </w:p>
    <w:p w14:paraId="2FA0E5D5" w14:textId="60222C7C" w:rsidR="0051325E" w:rsidRDefault="0051325E" w:rsidP="0051325E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171316">
        <w:rPr>
          <w:rFonts w:ascii="Times New Roman" w:hAnsi="Times New Roman"/>
          <w:b/>
          <w:bCs/>
          <w:sz w:val="20"/>
          <w:szCs w:val="20"/>
        </w:rPr>
        <w:t>Proposal #</w:t>
      </w:r>
      <w:r w:rsidR="00C904E4" w:rsidRPr="00171316">
        <w:rPr>
          <w:rFonts w:ascii="Times New Roman" w:hAnsi="Times New Roman"/>
          <w:b/>
          <w:bCs/>
          <w:sz w:val="20"/>
          <w:szCs w:val="20"/>
        </w:rPr>
        <w:t>2</w:t>
      </w:r>
      <w:r w:rsidRPr="00171316">
        <w:rPr>
          <w:rFonts w:ascii="Times New Roman" w:hAnsi="Times New Roman"/>
          <w:sz w:val="20"/>
          <w:szCs w:val="20"/>
        </w:rPr>
        <w:t xml:space="preserve">: </w:t>
      </w:r>
      <w:r w:rsidR="00171316" w:rsidRPr="00171316">
        <w:rPr>
          <w:rFonts w:ascii="Times New Roman" w:hAnsi="Times New Roman"/>
          <w:sz w:val="20"/>
          <w:szCs w:val="20"/>
        </w:rPr>
        <w:t xml:space="preserve">Wait for further RAN1 </w:t>
      </w:r>
      <w:r w:rsidRPr="00171316">
        <w:rPr>
          <w:rFonts w:ascii="Times New Roman" w:hAnsi="Times New Roman"/>
          <w:sz w:val="20"/>
          <w:szCs w:val="20"/>
        </w:rPr>
        <w:t xml:space="preserve">agreements </w:t>
      </w:r>
      <w:r w:rsidR="00171316" w:rsidRPr="00171316">
        <w:rPr>
          <w:rFonts w:ascii="Times New Roman" w:hAnsi="Times New Roman"/>
          <w:sz w:val="20"/>
          <w:szCs w:val="20"/>
        </w:rPr>
        <w:t>related to OTA timing synchronization mechanism for</w:t>
      </w:r>
      <w:r w:rsidR="00C904E4" w:rsidRPr="00171316">
        <w:rPr>
          <w:rFonts w:ascii="Times New Roman" w:hAnsi="Times New Roman"/>
          <w:sz w:val="20"/>
          <w:szCs w:val="20"/>
        </w:rPr>
        <w:t xml:space="preserve"> Case # 6 timing </w:t>
      </w:r>
      <w:r w:rsidR="00171316" w:rsidRPr="00171316">
        <w:rPr>
          <w:rFonts w:ascii="Times New Roman" w:hAnsi="Times New Roman"/>
          <w:sz w:val="20"/>
          <w:szCs w:val="20"/>
        </w:rPr>
        <w:t xml:space="preserve">before drawing final conclusions on the </w:t>
      </w:r>
      <w:r w:rsidR="00C904E4" w:rsidRPr="00171316">
        <w:rPr>
          <w:rFonts w:ascii="Times New Roman" w:hAnsi="Times New Roman"/>
          <w:sz w:val="20"/>
          <w:szCs w:val="20"/>
        </w:rPr>
        <w:t xml:space="preserve">RRM </w:t>
      </w:r>
      <w:r w:rsidR="00171316" w:rsidRPr="00171316">
        <w:rPr>
          <w:rFonts w:ascii="Times New Roman" w:hAnsi="Times New Roman"/>
          <w:sz w:val="20"/>
          <w:szCs w:val="20"/>
        </w:rPr>
        <w:t>impact</w:t>
      </w:r>
      <w:r w:rsidRPr="00171316">
        <w:rPr>
          <w:rFonts w:ascii="Times New Roman" w:hAnsi="Times New Roman"/>
          <w:sz w:val="20"/>
          <w:szCs w:val="20"/>
        </w:rPr>
        <w:t xml:space="preserve">. </w:t>
      </w:r>
    </w:p>
    <w:p w14:paraId="72F2FB09" w14:textId="4A37D6F0" w:rsidR="00171316" w:rsidRPr="00171316" w:rsidRDefault="00171316" w:rsidP="00171316">
      <w:pPr>
        <w:overflowPunct w:val="0"/>
        <w:autoSpaceDE w:val="0"/>
        <w:autoSpaceDN w:val="0"/>
        <w:adjustRightInd w:val="0"/>
        <w:spacing w:before="240"/>
        <w:textAlignment w:val="baseline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CLI for IAB</w:t>
      </w:r>
      <w:r w:rsidRPr="00171316">
        <w:rPr>
          <w:b/>
          <w:bCs/>
          <w:sz w:val="20"/>
          <w:szCs w:val="20"/>
          <w:u w:val="single"/>
        </w:rPr>
        <w:t>:</w:t>
      </w:r>
    </w:p>
    <w:p w14:paraId="6E95858C" w14:textId="1F36F4A7" w:rsidR="00171316" w:rsidRDefault="00171316" w:rsidP="00171316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171316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0"/>
        </w:rPr>
        <w:t>5</w:t>
      </w:r>
      <w:r w:rsidRPr="00171316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>According to</w:t>
      </w:r>
      <w:r w:rsidRPr="00171316">
        <w:t xml:space="preserve"> </w:t>
      </w:r>
      <w:r w:rsidRPr="00171316">
        <w:rPr>
          <w:rFonts w:ascii="Times New Roman" w:hAnsi="Times New Roman"/>
          <w:sz w:val="20"/>
          <w:szCs w:val="20"/>
        </w:rPr>
        <w:t>RAN1 agreements, CLI framework for IAB is based on existing Rel-16 CLI solutions for UE.</w:t>
      </w:r>
    </w:p>
    <w:p w14:paraId="1A546ABC" w14:textId="191ECF5F" w:rsidR="00816B96" w:rsidRPr="00816B96" w:rsidRDefault="00816B96" w:rsidP="00816B96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171316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0"/>
        </w:rPr>
        <w:t>6</w:t>
      </w:r>
      <w:r w:rsidRPr="00171316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>RAN4 concluded in Rel-16 not to define RRM requirements for IAB-MT and leave it for implementation</w:t>
      </w:r>
      <w:r w:rsidRPr="00171316">
        <w:rPr>
          <w:rFonts w:ascii="Times New Roman" w:hAnsi="Times New Roman"/>
          <w:sz w:val="20"/>
          <w:szCs w:val="20"/>
        </w:rPr>
        <w:t>.</w:t>
      </w:r>
    </w:p>
    <w:p w14:paraId="1A117770" w14:textId="70412360" w:rsidR="00171316" w:rsidRPr="00171316" w:rsidRDefault="00171316" w:rsidP="00171316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171316">
        <w:rPr>
          <w:rFonts w:ascii="Times New Roman" w:hAnsi="Times New Roman"/>
          <w:b/>
          <w:bCs/>
          <w:sz w:val="20"/>
          <w:szCs w:val="20"/>
        </w:rPr>
        <w:t>Proposal #</w:t>
      </w:r>
      <w:r w:rsidR="00816B96">
        <w:rPr>
          <w:rFonts w:ascii="Times New Roman" w:hAnsi="Times New Roman"/>
          <w:b/>
          <w:bCs/>
          <w:sz w:val="20"/>
          <w:szCs w:val="20"/>
        </w:rPr>
        <w:t>3</w:t>
      </w:r>
      <w:r w:rsidRPr="00171316">
        <w:rPr>
          <w:rFonts w:ascii="Times New Roman" w:hAnsi="Times New Roman"/>
          <w:sz w:val="20"/>
          <w:szCs w:val="20"/>
        </w:rPr>
        <w:t xml:space="preserve">: </w:t>
      </w:r>
      <w:r w:rsidR="00F15E46">
        <w:rPr>
          <w:rFonts w:ascii="Times New Roman" w:hAnsi="Times New Roman"/>
          <w:sz w:val="20"/>
          <w:szCs w:val="20"/>
        </w:rPr>
        <w:t xml:space="preserve">For CLI measurements by IAB-MT, no RRM requirements </w:t>
      </w:r>
      <w:r w:rsidR="004C4505">
        <w:rPr>
          <w:rFonts w:ascii="Times New Roman" w:hAnsi="Times New Roman"/>
          <w:sz w:val="20"/>
          <w:szCs w:val="20"/>
        </w:rPr>
        <w:t xml:space="preserve">need to be </w:t>
      </w:r>
      <w:r w:rsidR="00F15E46">
        <w:rPr>
          <w:rFonts w:ascii="Times New Roman" w:hAnsi="Times New Roman"/>
          <w:sz w:val="20"/>
          <w:szCs w:val="20"/>
        </w:rPr>
        <w:t>specified</w:t>
      </w:r>
      <w:r w:rsidRPr="00171316">
        <w:rPr>
          <w:rFonts w:ascii="Times New Roman" w:hAnsi="Times New Roman"/>
          <w:sz w:val="20"/>
          <w:szCs w:val="20"/>
        </w:rPr>
        <w:t xml:space="preserve">. </w:t>
      </w:r>
    </w:p>
    <w:p w14:paraId="38A8F316" w14:textId="7A0D009A" w:rsidR="008306B4" w:rsidRPr="00171316" w:rsidRDefault="00583E33" w:rsidP="00171316">
      <w:pPr>
        <w:spacing w:before="240"/>
        <w:rPr>
          <w:lang w:val="en-US"/>
        </w:rPr>
      </w:pPr>
      <w:r w:rsidRPr="00171316">
        <w:rPr>
          <w:lang w:val="en-US"/>
        </w:rPr>
        <w:br w:type="page"/>
      </w:r>
    </w:p>
    <w:p w14:paraId="4F407A74" w14:textId="0EA81A66" w:rsidR="00C8565F" w:rsidRPr="0064384A" w:rsidRDefault="00C8565F" w:rsidP="00C8565F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lastRenderedPageBreak/>
        <w:t>References</w:t>
      </w:r>
    </w:p>
    <w:p w14:paraId="156F80C5" w14:textId="6092956F" w:rsidR="007C7F17" w:rsidRDefault="00590FF2" w:rsidP="00770B2D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590FF2">
        <w:rPr>
          <w:rFonts w:ascii="Times New Roman" w:hAnsi="Times New Roman"/>
          <w:sz w:val="18"/>
          <w:szCs w:val="18"/>
          <w:lang w:val="en-GB"/>
        </w:rPr>
        <w:t>R4-21</w:t>
      </w:r>
      <w:r w:rsidR="00A42282">
        <w:rPr>
          <w:rFonts w:ascii="Times New Roman" w:hAnsi="Times New Roman"/>
          <w:sz w:val="18"/>
          <w:szCs w:val="18"/>
          <w:lang w:val="en-GB"/>
        </w:rPr>
        <w:t>15</w:t>
      </w:r>
      <w:r w:rsidR="00FA4464">
        <w:rPr>
          <w:rFonts w:ascii="Times New Roman" w:hAnsi="Times New Roman"/>
          <w:sz w:val="18"/>
          <w:szCs w:val="18"/>
          <w:lang w:val="en-GB"/>
        </w:rPr>
        <w:t>353</w:t>
      </w:r>
      <w:r w:rsidR="007C7F17" w:rsidRPr="007C7F17">
        <w:rPr>
          <w:rFonts w:ascii="Times New Roman" w:hAnsi="Times New Roman"/>
          <w:sz w:val="18"/>
          <w:szCs w:val="18"/>
        </w:rPr>
        <w:t xml:space="preserve">, </w:t>
      </w:r>
      <w:r w:rsidRPr="00590FF2">
        <w:rPr>
          <w:rFonts w:ascii="Times New Roman" w:hAnsi="Times New Roman"/>
          <w:sz w:val="18"/>
          <w:szCs w:val="18"/>
          <w:lang w:val="en-GB"/>
        </w:rPr>
        <w:t xml:space="preserve">WF on </w:t>
      </w:r>
      <w:proofErr w:type="spellStart"/>
      <w:r w:rsidRPr="00590FF2">
        <w:rPr>
          <w:rFonts w:ascii="Times New Roman" w:hAnsi="Times New Roman"/>
          <w:sz w:val="18"/>
          <w:szCs w:val="18"/>
          <w:lang w:val="en-GB"/>
        </w:rPr>
        <w:t>eIAB</w:t>
      </w:r>
      <w:proofErr w:type="spellEnd"/>
      <w:r w:rsidRPr="00590FF2">
        <w:rPr>
          <w:rFonts w:ascii="Times New Roman" w:hAnsi="Times New Roman"/>
          <w:sz w:val="18"/>
          <w:szCs w:val="18"/>
          <w:lang w:val="en-GB"/>
        </w:rPr>
        <w:t xml:space="preserve"> RRM</w:t>
      </w:r>
      <w:r w:rsidR="007C7F17">
        <w:rPr>
          <w:rFonts w:ascii="Times New Roman" w:hAnsi="Times New Roman"/>
          <w:sz w:val="18"/>
          <w:szCs w:val="18"/>
        </w:rPr>
        <w:t>,</w:t>
      </w:r>
      <w:r>
        <w:rPr>
          <w:rFonts w:ascii="Times New Roman" w:hAnsi="Times New Roman"/>
          <w:sz w:val="18"/>
          <w:szCs w:val="18"/>
        </w:rPr>
        <w:t xml:space="preserve"> ZTE</w:t>
      </w:r>
      <w:r w:rsidR="00DE6850">
        <w:rPr>
          <w:rFonts w:ascii="Times New Roman" w:hAnsi="Times New Roman"/>
          <w:sz w:val="18"/>
          <w:szCs w:val="18"/>
        </w:rPr>
        <w:t>.</w:t>
      </w:r>
    </w:p>
    <w:p w14:paraId="6D34CB60" w14:textId="6DEEB57B" w:rsidR="00EB2DE7" w:rsidRPr="00EF4D4E" w:rsidRDefault="00A51465" w:rsidP="00EF4D4E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A51465">
        <w:rPr>
          <w:rFonts w:ascii="Times New Roman" w:hAnsi="Times New Roman"/>
          <w:sz w:val="18"/>
          <w:szCs w:val="18"/>
        </w:rPr>
        <w:t>R4-2118979</w:t>
      </w:r>
      <w:r w:rsidR="00C04BE6">
        <w:rPr>
          <w:rFonts w:ascii="Times New Roman" w:hAnsi="Times New Roman"/>
          <w:sz w:val="18"/>
          <w:szCs w:val="18"/>
        </w:rPr>
        <w:t>,</w:t>
      </w:r>
      <w:r w:rsidR="00F10995">
        <w:rPr>
          <w:rFonts w:ascii="Times New Roman" w:hAnsi="Times New Roman"/>
          <w:sz w:val="18"/>
          <w:szCs w:val="18"/>
        </w:rPr>
        <w:t xml:space="preserve"> </w:t>
      </w:r>
      <w:r w:rsidR="00F16E89" w:rsidRPr="00F16E89">
        <w:rPr>
          <w:rFonts w:ascii="Times New Roman" w:hAnsi="Times New Roman"/>
          <w:sz w:val="18"/>
          <w:szCs w:val="18"/>
        </w:rPr>
        <w:t>RF impact analysis for Simultaneous operation of DU and MT</w:t>
      </w:r>
      <w:r w:rsidR="00F16E89">
        <w:rPr>
          <w:rFonts w:ascii="Times New Roman" w:hAnsi="Times New Roman"/>
          <w:sz w:val="18"/>
          <w:szCs w:val="18"/>
        </w:rPr>
        <w:t>,</w:t>
      </w:r>
      <w:r w:rsidR="00F10995">
        <w:rPr>
          <w:rFonts w:ascii="Times New Roman" w:hAnsi="Times New Roman"/>
          <w:sz w:val="18"/>
          <w:szCs w:val="18"/>
        </w:rPr>
        <w:t xml:space="preserve"> </w:t>
      </w:r>
      <w:r w:rsidR="00C04BE6">
        <w:rPr>
          <w:rFonts w:ascii="Times New Roman" w:hAnsi="Times New Roman"/>
          <w:sz w:val="18"/>
          <w:szCs w:val="18"/>
        </w:rPr>
        <w:t>Ericsson.</w:t>
      </w:r>
    </w:p>
    <w:bookmarkEnd w:id="1"/>
    <w:bookmarkEnd w:id="2"/>
    <w:p w14:paraId="6CDB067D" w14:textId="77777777" w:rsidR="00EB2DE7" w:rsidRPr="00D83109" w:rsidRDefault="00EB2DE7" w:rsidP="00EB2DE7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en-US"/>
        </w:rPr>
      </w:pPr>
    </w:p>
    <w:sectPr w:rsidR="00EB2DE7" w:rsidRPr="00D8310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1B12AB" w14:textId="77777777" w:rsidR="00B70559" w:rsidRDefault="00B70559">
      <w:r>
        <w:separator/>
      </w:r>
    </w:p>
  </w:endnote>
  <w:endnote w:type="continuationSeparator" w:id="0">
    <w:p w14:paraId="7C9544B1" w14:textId="77777777" w:rsidR="00B70559" w:rsidRDefault="00B70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446B5F" w14:textId="77777777" w:rsidR="00B70559" w:rsidRDefault="00B70559">
      <w:r>
        <w:separator/>
      </w:r>
    </w:p>
  </w:footnote>
  <w:footnote w:type="continuationSeparator" w:id="0">
    <w:p w14:paraId="33FD3792" w14:textId="77777777" w:rsidR="00B70559" w:rsidRDefault="00B70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76458"/>
    <w:multiLevelType w:val="multilevel"/>
    <w:tmpl w:val="AA2613E6"/>
    <w:lvl w:ilvl="0">
      <w:start w:val="1"/>
      <w:numFmt w:val="bullet"/>
      <w:lvlText w:val=""/>
      <w:lvlJc w:val="left"/>
      <w:pPr>
        <w:tabs>
          <w:tab w:val="num" w:pos="290"/>
        </w:tabs>
        <w:ind w:left="29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30"/>
        </w:tabs>
        <w:ind w:left="173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90"/>
        </w:tabs>
        <w:ind w:left="389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50"/>
        </w:tabs>
        <w:ind w:left="605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9499B"/>
    <w:multiLevelType w:val="hybridMultilevel"/>
    <w:tmpl w:val="06B6D4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17CA60B5"/>
    <w:multiLevelType w:val="hybridMultilevel"/>
    <w:tmpl w:val="75EC5F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E5548B"/>
    <w:multiLevelType w:val="multilevel"/>
    <w:tmpl w:val="5030D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CA52742"/>
    <w:multiLevelType w:val="multilevel"/>
    <w:tmpl w:val="96CED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1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14E3053"/>
    <w:multiLevelType w:val="hybridMultilevel"/>
    <w:tmpl w:val="6002AC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8" w15:restartNumberingAfterBreak="0">
    <w:nsid w:val="39F36BFA"/>
    <w:multiLevelType w:val="hybridMultilevel"/>
    <w:tmpl w:val="8594E7E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2F87347"/>
    <w:multiLevelType w:val="hybridMultilevel"/>
    <w:tmpl w:val="6D50EDE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C57EA3"/>
    <w:multiLevelType w:val="hybridMultilevel"/>
    <w:tmpl w:val="2E0AB34C"/>
    <w:lvl w:ilvl="0" w:tplc="1ABAAE1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A16231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DAE2BE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5D26D2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0A55A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F4594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72C0D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A0FA6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FEE116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884327F"/>
    <w:multiLevelType w:val="multilevel"/>
    <w:tmpl w:val="04360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5" w15:restartNumberingAfterBreak="0">
    <w:nsid w:val="4D475873"/>
    <w:multiLevelType w:val="hybridMultilevel"/>
    <w:tmpl w:val="DD7C5A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8951E84"/>
    <w:multiLevelType w:val="multilevel"/>
    <w:tmpl w:val="58951E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02F4378"/>
    <w:multiLevelType w:val="hybridMultilevel"/>
    <w:tmpl w:val="A2168E88"/>
    <w:lvl w:ilvl="0" w:tplc="7B1671AE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848D660">
      <w:numFmt w:val="none"/>
      <w:lvlText w:val=""/>
      <w:lvlJc w:val="left"/>
      <w:pPr>
        <w:tabs>
          <w:tab w:val="num" w:pos="360"/>
        </w:tabs>
      </w:pPr>
    </w:lvl>
    <w:lvl w:ilvl="2" w:tplc="A71C7F26" w:tentative="1">
      <w:start w:val="1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4692BCEE" w:tentative="1">
      <w:start w:val="1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A3F8FE4E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A3CC381A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A96AB38C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9AAC3160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8EFCC200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31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2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4" w15:restartNumberingAfterBreak="0">
    <w:nsid w:val="691E667A"/>
    <w:multiLevelType w:val="hybridMultilevel"/>
    <w:tmpl w:val="0CA43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8C3653"/>
    <w:multiLevelType w:val="hybridMultilevel"/>
    <w:tmpl w:val="971A33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BB41FDA"/>
    <w:multiLevelType w:val="multilevel"/>
    <w:tmpl w:val="35D8F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17D0A25"/>
    <w:multiLevelType w:val="hybridMultilevel"/>
    <w:tmpl w:val="BEE877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7"/>
  </w:num>
  <w:num w:numId="3">
    <w:abstractNumId w:val="41"/>
  </w:num>
  <w:num w:numId="4">
    <w:abstractNumId w:val="2"/>
  </w:num>
  <w:num w:numId="5">
    <w:abstractNumId w:val="19"/>
  </w:num>
  <w:num w:numId="6">
    <w:abstractNumId w:val="40"/>
  </w:num>
  <w:num w:numId="7">
    <w:abstractNumId w:val="33"/>
  </w:num>
  <w:num w:numId="8">
    <w:abstractNumId w:val="29"/>
  </w:num>
  <w:num w:numId="9">
    <w:abstractNumId w:val="6"/>
  </w:num>
  <w:num w:numId="10">
    <w:abstractNumId w:val="17"/>
  </w:num>
  <w:num w:numId="11">
    <w:abstractNumId w:val="10"/>
  </w:num>
  <w:num w:numId="12">
    <w:abstractNumId w:val="13"/>
  </w:num>
  <w:num w:numId="13">
    <w:abstractNumId w:val="14"/>
  </w:num>
  <w:num w:numId="14">
    <w:abstractNumId w:val="4"/>
  </w:num>
  <w:num w:numId="15">
    <w:abstractNumId w:val="3"/>
  </w:num>
  <w:num w:numId="16">
    <w:abstractNumId w:val="31"/>
  </w:num>
  <w:num w:numId="17">
    <w:abstractNumId w:val="12"/>
  </w:num>
  <w:num w:numId="18">
    <w:abstractNumId w:val="39"/>
  </w:num>
  <w:num w:numId="19">
    <w:abstractNumId w:val="26"/>
  </w:num>
  <w:num w:numId="20">
    <w:abstractNumId w:val="24"/>
  </w:num>
  <w:num w:numId="21">
    <w:abstractNumId w:val="22"/>
  </w:num>
  <w:num w:numId="22">
    <w:abstractNumId w:val="27"/>
  </w:num>
  <w:num w:numId="23">
    <w:abstractNumId w:val="16"/>
  </w:num>
  <w:num w:numId="24">
    <w:abstractNumId w:val="35"/>
  </w:num>
  <w:num w:numId="25">
    <w:abstractNumId w:val="11"/>
  </w:num>
  <w:num w:numId="26">
    <w:abstractNumId w:val="30"/>
  </w:num>
  <w:num w:numId="27">
    <w:abstractNumId w:val="0"/>
  </w:num>
  <w:num w:numId="28">
    <w:abstractNumId w:val="36"/>
  </w:num>
  <w:num w:numId="29">
    <w:abstractNumId w:val="18"/>
  </w:num>
  <w:num w:numId="30">
    <w:abstractNumId w:val="20"/>
  </w:num>
  <w:num w:numId="31">
    <w:abstractNumId w:val="32"/>
  </w:num>
  <w:num w:numId="32">
    <w:abstractNumId w:val="25"/>
  </w:num>
  <w:num w:numId="33">
    <w:abstractNumId w:val="5"/>
  </w:num>
  <w:num w:numId="34">
    <w:abstractNumId w:val="1"/>
  </w:num>
  <w:num w:numId="35">
    <w:abstractNumId w:val="15"/>
  </w:num>
  <w:num w:numId="36">
    <w:abstractNumId w:val="34"/>
  </w:num>
  <w:num w:numId="37">
    <w:abstractNumId w:val="37"/>
  </w:num>
  <w:num w:numId="38">
    <w:abstractNumId w:val="8"/>
  </w:num>
  <w:num w:numId="39">
    <w:abstractNumId w:val="21"/>
  </w:num>
  <w:num w:numId="40">
    <w:abstractNumId w:val="23"/>
  </w:num>
  <w:num w:numId="41">
    <w:abstractNumId w:val="9"/>
  </w:num>
  <w:num w:numId="42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70"/>
    <w:rsid w:val="00002099"/>
    <w:rsid w:val="000027B0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A39"/>
    <w:rsid w:val="00037C03"/>
    <w:rsid w:val="00037F60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B3F"/>
    <w:rsid w:val="000D7911"/>
    <w:rsid w:val="000D7DE0"/>
    <w:rsid w:val="000E0A75"/>
    <w:rsid w:val="000E0E0D"/>
    <w:rsid w:val="000E2319"/>
    <w:rsid w:val="000E2999"/>
    <w:rsid w:val="000E30B4"/>
    <w:rsid w:val="000E3C50"/>
    <w:rsid w:val="000E3C71"/>
    <w:rsid w:val="000E4521"/>
    <w:rsid w:val="000E57FF"/>
    <w:rsid w:val="000E67A9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D5E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A6E"/>
    <w:rsid w:val="00116EF2"/>
    <w:rsid w:val="001204B0"/>
    <w:rsid w:val="0012101E"/>
    <w:rsid w:val="0012119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66AD"/>
    <w:rsid w:val="00176E80"/>
    <w:rsid w:val="001772CF"/>
    <w:rsid w:val="00177BF7"/>
    <w:rsid w:val="001800C0"/>
    <w:rsid w:val="001808A4"/>
    <w:rsid w:val="0018133F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7E2"/>
    <w:rsid w:val="001A7B60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6799"/>
    <w:rsid w:val="002376D0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4054"/>
    <w:rsid w:val="0025582C"/>
    <w:rsid w:val="00255DC4"/>
    <w:rsid w:val="00255F58"/>
    <w:rsid w:val="00255FF0"/>
    <w:rsid w:val="0025632B"/>
    <w:rsid w:val="00257768"/>
    <w:rsid w:val="0026004D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5B9B"/>
    <w:rsid w:val="00265D7A"/>
    <w:rsid w:val="00266652"/>
    <w:rsid w:val="00266990"/>
    <w:rsid w:val="00267363"/>
    <w:rsid w:val="002674A6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45BA"/>
    <w:rsid w:val="002A4BB7"/>
    <w:rsid w:val="002A4D8B"/>
    <w:rsid w:val="002A58B8"/>
    <w:rsid w:val="002A592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9DA"/>
    <w:rsid w:val="00303C0A"/>
    <w:rsid w:val="003052E9"/>
    <w:rsid w:val="00305409"/>
    <w:rsid w:val="003059E3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312C"/>
    <w:rsid w:val="0032441B"/>
    <w:rsid w:val="003244D1"/>
    <w:rsid w:val="00324CDB"/>
    <w:rsid w:val="003259F6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2144"/>
    <w:rsid w:val="00343796"/>
    <w:rsid w:val="00343C53"/>
    <w:rsid w:val="0034523B"/>
    <w:rsid w:val="003464B5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A4B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71D"/>
    <w:rsid w:val="003E5D3B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CB4"/>
    <w:rsid w:val="00436371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61A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64E0"/>
    <w:rsid w:val="004B6C53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1436"/>
    <w:rsid w:val="004F191F"/>
    <w:rsid w:val="004F1A59"/>
    <w:rsid w:val="004F1F01"/>
    <w:rsid w:val="004F223A"/>
    <w:rsid w:val="004F3748"/>
    <w:rsid w:val="004F3CCF"/>
    <w:rsid w:val="004F4AAA"/>
    <w:rsid w:val="004F5851"/>
    <w:rsid w:val="004F61F5"/>
    <w:rsid w:val="004F762E"/>
    <w:rsid w:val="00500308"/>
    <w:rsid w:val="0050069B"/>
    <w:rsid w:val="00500BE1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698"/>
    <w:rsid w:val="00530F77"/>
    <w:rsid w:val="0053233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344D"/>
    <w:rsid w:val="00553F9C"/>
    <w:rsid w:val="00554698"/>
    <w:rsid w:val="0055478F"/>
    <w:rsid w:val="0055506E"/>
    <w:rsid w:val="005552C0"/>
    <w:rsid w:val="005568E9"/>
    <w:rsid w:val="005569B1"/>
    <w:rsid w:val="00556E5D"/>
    <w:rsid w:val="00557070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063"/>
    <w:rsid w:val="00565333"/>
    <w:rsid w:val="005659E7"/>
    <w:rsid w:val="00565D55"/>
    <w:rsid w:val="005677DD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83"/>
    <w:rsid w:val="005E2715"/>
    <w:rsid w:val="005E2C44"/>
    <w:rsid w:val="005E3418"/>
    <w:rsid w:val="005E3493"/>
    <w:rsid w:val="005E390D"/>
    <w:rsid w:val="005E4DCC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3A2A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5C9"/>
    <w:rsid w:val="00654A9B"/>
    <w:rsid w:val="00656CCB"/>
    <w:rsid w:val="0065731B"/>
    <w:rsid w:val="006576A9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5A12"/>
    <w:rsid w:val="006663D5"/>
    <w:rsid w:val="00666D1D"/>
    <w:rsid w:val="00667010"/>
    <w:rsid w:val="00667188"/>
    <w:rsid w:val="00670498"/>
    <w:rsid w:val="0067096B"/>
    <w:rsid w:val="00670F20"/>
    <w:rsid w:val="00671E1D"/>
    <w:rsid w:val="00671EB8"/>
    <w:rsid w:val="006738C3"/>
    <w:rsid w:val="00674233"/>
    <w:rsid w:val="00675462"/>
    <w:rsid w:val="00675EB0"/>
    <w:rsid w:val="00675FB0"/>
    <w:rsid w:val="0067659A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896"/>
    <w:rsid w:val="006879AF"/>
    <w:rsid w:val="00690236"/>
    <w:rsid w:val="006907A4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808"/>
    <w:rsid w:val="006A2819"/>
    <w:rsid w:val="006A29D3"/>
    <w:rsid w:val="006A477D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3EBB"/>
    <w:rsid w:val="006D5730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DB9"/>
    <w:rsid w:val="00756E44"/>
    <w:rsid w:val="00757A17"/>
    <w:rsid w:val="0076004E"/>
    <w:rsid w:val="007607A4"/>
    <w:rsid w:val="00762094"/>
    <w:rsid w:val="00762CE5"/>
    <w:rsid w:val="0076334F"/>
    <w:rsid w:val="007634C8"/>
    <w:rsid w:val="007639E1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B04"/>
    <w:rsid w:val="0079458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56E7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F5D"/>
    <w:rsid w:val="007E78D5"/>
    <w:rsid w:val="007E7B60"/>
    <w:rsid w:val="007F087A"/>
    <w:rsid w:val="007F20F6"/>
    <w:rsid w:val="007F2B0F"/>
    <w:rsid w:val="007F2F89"/>
    <w:rsid w:val="007F32B1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A86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7EA"/>
    <w:rsid w:val="00887858"/>
    <w:rsid w:val="008903CD"/>
    <w:rsid w:val="00890D1B"/>
    <w:rsid w:val="00891363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C43"/>
    <w:rsid w:val="00897CED"/>
    <w:rsid w:val="008A09E5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5EA8"/>
    <w:rsid w:val="008B607D"/>
    <w:rsid w:val="008B69F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14E1"/>
    <w:rsid w:val="00912803"/>
    <w:rsid w:val="0091390D"/>
    <w:rsid w:val="00915F9C"/>
    <w:rsid w:val="009161D4"/>
    <w:rsid w:val="00916583"/>
    <w:rsid w:val="009176E4"/>
    <w:rsid w:val="00922343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761"/>
    <w:rsid w:val="00945BED"/>
    <w:rsid w:val="009460DD"/>
    <w:rsid w:val="00946149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06A5"/>
    <w:rsid w:val="009811CE"/>
    <w:rsid w:val="0098188F"/>
    <w:rsid w:val="009828FE"/>
    <w:rsid w:val="00982BD6"/>
    <w:rsid w:val="009837FE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276A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A63"/>
    <w:rsid w:val="009B4CCF"/>
    <w:rsid w:val="009B5909"/>
    <w:rsid w:val="009B5C55"/>
    <w:rsid w:val="009B6468"/>
    <w:rsid w:val="009B6CE8"/>
    <w:rsid w:val="009B7DB1"/>
    <w:rsid w:val="009C0D95"/>
    <w:rsid w:val="009C1776"/>
    <w:rsid w:val="009C2F19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EF2"/>
    <w:rsid w:val="009F734F"/>
    <w:rsid w:val="009F7656"/>
    <w:rsid w:val="009F7784"/>
    <w:rsid w:val="00A00234"/>
    <w:rsid w:val="00A00F53"/>
    <w:rsid w:val="00A01BA2"/>
    <w:rsid w:val="00A01D3C"/>
    <w:rsid w:val="00A01D5F"/>
    <w:rsid w:val="00A0212F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6D7D"/>
    <w:rsid w:val="00A17FF8"/>
    <w:rsid w:val="00A213E5"/>
    <w:rsid w:val="00A22337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7530"/>
    <w:rsid w:val="00A27CB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5F56"/>
    <w:rsid w:val="00A36590"/>
    <w:rsid w:val="00A36CB6"/>
    <w:rsid w:val="00A3788C"/>
    <w:rsid w:val="00A37999"/>
    <w:rsid w:val="00A412D5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3E71"/>
    <w:rsid w:val="00A64625"/>
    <w:rsid w:val="00A6498F"/>
    <w:rsid w:val="00A64A66"/>
    <w:rsid w:val="00A64AAB"/>
    <w:rsid w:val="00A6502E"/>
    <w:rsid w:val="00A654A2"/>
    <w:rsid w:val="00A663C3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A3A"/>
    <w:rsid w:val="00A84B77"/>
    <w:rsid w:val="00A84D49"/>
    <w:rsid w:val="00A8690E"/>
    <w:rsid w:val="00A87366"/>
    <w:rsid w:val="00A8754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2EF"/>
    <w:rsid w:val="00A97C46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261E"/>
    <w:rsid w:val="00AC3161"/>
    <w:rsid w:val="00AC38E7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E63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89F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409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4100"/>
    <w:rsid w:val="00C04BE6"/>
    <w:rsid w:val="00C054FF"/>
    <w:rsid w:val="00C05939"/>
    <w:rsid w:val="00C0662E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3488"/>
    <w:rsid w:val="00C4375E"/>
    <w:rsid w:val="00C44065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3527"/>
    <w:rsid w:val="00C53D10"/>
    <w:rsid w:val="00C54C8A"/>
    <w:rsid w:val="00C55DF9"/>
    <w:rsid w:val="00C56B91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F2DC2"/>
    <w:rsid w:val="00CF35F6"/>
    <w:rsid w:val="00CF41DE"/>
    <w:rsid w:val="00CF7C00"/>
    <w:rsid w:val="00CF7DDB"/>
    <w:rsid w:val="00D0012B"/>
    <w:rsid w:val="00D00FAE"/>
    <w:rsid w:val="00D01693"/>
    <w:rsid w:val="00D01E17"/>
    <w:rsid w:val="00D03CD5"/>
    <w:rsid w:val="00D03F9A"/>
    <w:rsid w:val="00D041BA"/>
    <w:rsid w:val="00D052C3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37F5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4421"/>
    <w:rsid w:val="00D4520E"/>
    <w:rsid w:val="00D45372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3109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C86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35C"/>
    <w:rsid w:val="00E44E66"/>
    <w:rsid w:val="00E46117"/>
    <w:rsid w:val="00E4747F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61"/>
    <w:rsid w:val="00E90686"/>
    <w:rsid w:val="00E913A1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0995"/>
    <w:rsid w:val="00F10A89"/>
    <w:rsid w:val="00F11233"/>
    <w:rsid w:val="00F114F9"/>
    <w:rsid w:val="00F115EA"/>
    <w:rsid w:val="00F134EA"/>
    <w:rsid w:val="00F136C2"/>
    <w:rsid w:val="00F14BCF"/>
    <w:rsid w:val="00F14F8E"/>
    <w:rsid w:val="00F1568B"/>
    <w:rsid w:val="00F15E46"/>
    <w:rsid w:val="00F16E89"/>
    <w:rsid w:val="00F1773B"/>
    <w:rsid w:val="00F20AF0"/>
    <w:rsid w:val="00F212F3"/>
    <w:rsid w:val="00F214CC"/>
    <w:rsid w:val="00F215B6"/>
    <w:rsid w:val="00F219E1"/>
    <w:rsid w:val="00F21EA8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339"/>
    <w:rsid w:val="00F507B4"/>
    <w:rsid w:val="00F51B6B"/>
    <w:rsid w:val="00F52204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3F6E"/>
    <w:rsid w:val="00F74533"/>
    <w:rsid w:val="00F74D40"/>
    <w:rsid w:val="00F75299"/>
    <w:rsid w:val="00F7792E"/>
    <w:rsid w:val="00F80396"/>
    <w:rsid w:val="00F806BB"/>
    <w:rsid w:val="00F81E41"/>
    <w:rsid w:val="00F824CE"/>
    <w:rsid w:val="00F82513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464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754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2f3ae03e93119387e27808c7c36276e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2f26feb35752f3b381ac8c08cd810c18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99BADC-2879-4F4A-81EC-894232E2D5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4</Pages>
  <Words>1332</Words>
  <Characters>6958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138</cp:revision>
  <cp:lastPrinted>1899-12-31T23:00:00Z</cp:lastPrinted>
  <dcterms:created xsi:type="dcterms:W3CDTF">2021-08-04T12:22:00Z</dcterms:created>
  <dcterms:modified xsi:type="dcterms:W3CDTF">2021-10-22T20:35:00Z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